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8ACC" w14:textId="77777777" w:rsidR="00730A2A" w:rsidRPr="000131FE" w:rsidRDefault="00D63378" w:rsidP="00730A2A">
      <w:pPr>
        <w:pStyle w:val="Titre"/>
        <w:rPr>
          <w:rFonts w:ascii="Arial" w:hAnsi="Arial" w:cs="Arial"/>
          <w:color w:val="999999"/>
        </w:rPr>
      </w:pPr>
      <w:r>
        <w:rPr>
          <w:rFonts w:ascii="Arial" w:hAnsi="Arial" w:cs="Arial"/>
          <w:sz w:val="36"/>
        </w:rPr>
        <w:t>Procédé</w:t>
      </w:r>
      <w:r w:rsidR="00FE74C7">
        <w:rPr>
          <w:rFonts w:ascii="Arial" w:hAnsi="Arial" w:cs="Arial"/>
          <w:sz w:val="36"/>
        </w:rPr>
        <w:t xml:space="preserve"> photocatalytique d’élimination des micropolluants organiques persistants en vue de l’application de potabilisation des eaux naturelles</w:t>
      </w:r>
    </w:p>
    <w:p w14:paraId="7C4A89C0" w14:textId="77777777" w:rsidR="00730A2A" w:rsidRPr="000131FE" w:rsidRDefault="00FE74C7" w:rsidP="00730A2A">
      <w:pPr>
        <w:pStyle w:val="Auteurs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Julien GERVASI</w:t>
      </w:r>
      <w:r w:rsidR="003601CA">
        <w:rPr>
          <w:rFonts w:ascii="Arial" w:hAnsi="Arial" w:cs="Arial"/>
          <w:sz w:val="22"/>
        </w:rPr>
        <w:t xml:space="preserve"> </w:t>
      </w:r>
      <w:r w:rsidR="00730A2A" w:rsidRPr="000131FE">
        <w:rPr>
          <w:rFonts w:ascii="Arial" w:hAnsi="Arial" w:cs="Arial"/>
          <w:sz w:val="22"/>
          <w:vertAlign w:val="superscript"/>
        </w:rPr>
        <w:t>1</w:t>
      </w:r>
      <w:r w:rsidR="003601CA">
        <w:rPr>
          <w:rFonts w:ascii="Arial" w:hAnsi="Arial" w:cs="Arial"/>
          <w:sz w:val="22"/>
          <w:vertAlign w:val="superscript"/>
        </w:rPr>
        <w:t>*</w:t>
      </w:r>
      <w:r w:rsidR="00730A2A" w:rsidRPr="000131F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Anne-Lise HANTSON</w:t>
      </w:r>
      <w:r w:rsidR="006C0E77" w:rsidRPr="000131FE">
        <w:rPr>
          <w:rFonts w:ascii="Arial" w:hAnsi="Arial" w:cs="Arial"/>
          <w:sz w:val="22"/>
          <w:vertAlign w:val="superscript"/>
        </w:rPr>
        <w:t xml:space="preserve"> </w:t>
      </w:r>
      <w:r w:rsidR="003601CA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</w:rPr>
        <w:t xml:space="preserve">; Diane THOMAS </w:t>
      </w:r>
      <w:r w:rsidR="003601CA">
        <w:rPr>
          <w:rFonts w:ascii="Arial" w:hAnsi="Arial" w:cs="Arial"/>
          <w:sz w:val="22"/>
          <w:vertAlign w:val="superscript"/>
        </w:rPr>
        <w:t>1</w:t>
      </w:r>
    </w:p>
    <w:p w14:paraId="52937C31" w14:textId="77777777" w:rsidR="006C0E77" w:rsidRDefault="00730A2A" w:rsidP="006C0E77">
      <w:pPr>
        <w:pStyle w:val="Adresse"/>
        <w:rPr>
          <w:rFonts w:ascii="Arial" w:hAnsi="Arial" w:cs="Arial"/>
          <w:sz w:val="21"/>
        </w:rPr>
      </w:pPr>
      <w:r w:rsidRPr="006C0E77">
        <w:rPr>
          <w:rFonts w:ascii="Arial" w:hAnsi="Arial" w:cs="Arial"/>
          <w:sz w:val="21"/>
          <w:vertAlign w:val="superscript"/>
        </w:rPr>
        <w:t>1</w:t>
      </w:r>
      <w:r w:rsidR="003601CA">
        <w:rPr>
          <w:rFonts w:ascii="Arial" w:hAnsi="Arial" w:cs="Arial"/>
          <w:sz w:val="21"/>
        </w:rPr>
        <w:t>Génie des Procédés chimiques et biochimiques, Université de Mons (UMONS)</w:t>
      </w:r>
    </w:p>
    <w:p w14:paraId="7F103DF0" w14:textId="77777777" w:rsidR="00730A2A" w:rsidRPr="006C0E77" w:rsidRDefault="00730A2A" w:rsidP="00730A2A">
      <w:pPr>
        <w:pStyle w:val="Adresse"/>
        <w:rPr>
          <w:rFonts w:ascii="Arial" w:hAnsi="Arial" w:cs="Arial"/>
          <w:sz w:val="21"/>
        </w:rPr>
      </w:pPr>
      <w:r w:rsidRPr="006C0E77">
        <w:rPr>
          <w:rFonts w:ascii="Arial" w:hAnsi="Arial" w:cs="Arial"/>
          <w:sz w:val="21"/>
          <w:vertAlign w:val="superscript"/>
        </w:rPr>
        <w:t>*</w:t>
      </w:r>
      <w:r w:rsidRPr="006C0E77">
        <w:rPr>
          <w:rFonts w:ascii="Arial" w:hAnsi="Arial" w:cs="Arial"/>
          <w:sz w:val="21"/>
        </w:rPr>
        <w:t xml:space="preserve">(auteur correspondant : </w:t>
      </w:r>
      <w:hyperlink r:id="rId9" w:history="1">
        <w:r w:rsidR="003601CA" w:rsidRPr="00E5428F">
          <w:rPr>
            <w:rStyle w:val="Lienhypertexte"/>
            <w:rFonts w:ascii="Arial" w:hAnsi="Arial" w:cs="Arial"/>
            <w:sz w:val="21"/>
          </w:rPr>
          <w:t>Julien.GERVASI@umons.ac.be</w:t>
        </w:r>
      </w:hyperlink>
      <w:r w:rsidRPr="006C0E77">
        <w:rPr>
          <w:rFonts w:ascii="Arial" w:hAnsi="Arial" w:cs="Arial"/>
          <w:sz w:val="21"/>
        </w:rPr>
        <w:t>)</w:t>
      </w:r>
    </w:p>
    <w:p w14:paraId="2D250DBC" w14:textId="77777777" w:rsidR="006C0E77" w:rsidRDefault="006C0E77" w:rsidP="004B4210">
      <w:pPr>
        <w:pStyle w:val="Resume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018CAE5B" w14:textId="0BA6771F" w:rsidR="0095756A" w:rsidRDefault="007C1FA4" w:rsidP="00730A2A">
      <w:pPr>
        <w:pStyle w:val="Resume"/>
        <w:rPr>
          <w:rFonts w:ascii="Arial" w:hAnsi="Arial" w:cs="Arial"/>
        </w:rPr>
      </w:pPr>
      <w:r>
        <w:rPr>
          <w:rFonts w:ascii="Arial" w:hAnsi="Arial" w:cs="Arial"/>
        </w:rPr>
        <w:t>L’eau est une ressource vitale et essentielle</w:t>
      </w:r>
      <w:r w:rsidR="009234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E2548">
        <w:rPr>
          <w:rFonts w:ascii="Arial" w:hAnsi="Arial" w:cs="Arial"/>
        </w:rPr>
        <w:t xml:space="preserve">polluée par l’activité humaine et notamment par </w:t>
      </w:r>
      <w:r w:rsidR="003A0713">
        <w:rPr>
          <w:rFonts w:ascii="Arial" w:hAnsi="Arial" w:cs="Arial"/>
        </w:rPr>
        <w:t>les micropolluants organiques persistants (MOPs)</w:t>
      </w:r>
      <w:r w:rsidR="00D63378">
        <w:rPr>
          <w:rFonts w:ascii="Arial" w:hAnsi="Arial" w:cs="Arial"/>
        </w:rPr>
        <w:t>,</w:t>
      </w:r>
      <w:r w:rsidR="004E2548">
        <w:rPr>
          <w:rFonts w:ascii="Arial" w:hAnsi="Arial" w:cs="Arial"/>
        </w:rPr>
        <w:t xml:space="preserve"> résistant</w:t>
      </w:r>
      <w:r w:rsidR="00112E7D">
        <w:rPr>
          <w:rFonts w:ascii="Arial" w:hAnsi="Arial" w:cs="Arial"/>
        </w:rPr>
        <w:t xml:space="preserve"> </w:t>
      </w:r>
      <w:r w:rsidR="004E2548">
        <w:rPr>
          <w:rFonts w:ascii="Arial" w:hAnsi="Arial" w:cs="Arial"/>
        </w:rPr>
        <w:t xml:space="preserve">aux traitements conventionnels </w:t>
      </w:r>
      <w:r w:rsidR="00DA4D52">
        <w:rPr>
          <w:rFonts w:ascii="Arial" w:hAnsi="Arial" w:cs="Arial"/>
        </w:rPr>
        <w:t xml:space="preserve">de potabilisation </w:t>
      </w:r>
      <w:r w:rsidR="004E2548">
        <w:rPr>
          <w:rFonts w:ascii="Arial" w:hAnsi="Arial" w:cs="Arial"/>
        </w:rPr>
        <w:t>de l’eau</w:t>
      </w:r>
      <w:r w:rsidR="003A0713">
        <w:rPr>
          <w:rFonts w:ascii="Arial" w:hAnsi="Arial" w:cs="Arial"/>
        </w:rPr>
        <w:t xml:space="preserve">. </w:t>
      </w:r>
      <w:r w:rsidR="004E2548">
        <w:rPr>
          <w:rFonts w:ascii="Arial" w:hAnsi="Arial" w:cs="Arial"/>
        </w:rPr>
        <w:t>Certains de ces</w:t>
      </w:r>
      <w:r w:rsidR="002B5B4A">
        <w:rPr>
          <w:rFonts w:ascii="Arial" w:hAnsi="Arial" w:cs="Arial"/>
        </w:rPr>
        <w:t xml:space="preserve"> composés présentent la particularité d’inférer sur le système endocrinien des êtres vivants et cela même à de très faibles concentrations, c’est-à-dire de l’ordre du µg.L</w:t>
      </w:r>
      <w:r w:rsidR="002B5B4A">
        <w:rPr>
          <w:rFonts w:ascii="Arial" w:hAnsi="Arial" w:cs="Arial"/>
          <w:vertAlign w:val="superscript"/>
        </w:rPr>
        <w:t>-1</w:t>
      </w:r>
      <w:r w:rsidR="00FB2FA7">
        <w:rPr>
          <w:rFonts w:ascii="Arial" w:hAnsi="Arial" w:cs="Arial"/>
        </w:rPr>
        <w:t xml:space="preserve">, </w:t>
      </w:r>
      <w:r w:rsidR="002B5B4A">
        <w:rPr>
          <w:rFonts w:ascii="Arial" w:hAnsi="Arial" w:cs="Arial"/>
        </w:rPr>
        <w:t>voir</w:t>
      </w:r>
      <w:r w:rsidR="00FB2FA7">
        <w:rPr>
          <w:rFonts w:ascii="Arial" w:hAnsi="Arial" w:cs="Arial"/>
        </w:rPr>
        <w:t>e</w:t>
      </w:r>
      <w:r w:rsidR="002B5B4A">
        <w:rPr>
          <w:rFonts w:ascii="Arial" w:hAnsi="Arial" w:cs="Arial"/>
        </w:rPr>
        <w:t xml:space="preserve"> du ng.L</w:t>
      </w:r>
      <w:r w:rsidR="002B5B4A">
        <w:rPr>
          <w:rFonts w:ascii="Arial" w:hAnsi="Arial" w:cs="Arial"/>
          <w:vertAlign w:val="superscript"/>
        </w:rPr>
        <w:t>-1</w:t>
      </w:r>
      <w:r w:rsidR="009B30CC">
        <w:rPr>
          <w:rFonts w:ascii="Arial" w:hAnsi="Arial" w:cs="Arial"/>
        </w:rPr>
        <w:t xml:space="preserve">. </w:t>
      </w:r>
      <w:r w:rsidR="00A72D13">
        <w:rPr>
          <w:rFonts w:ascii="Arial" w:hAnsi="Arial" w:cs="Arial"/>
        </w:rPr>
        <w:t xml:space="preserve">Grâce à une étude bibliographique et à des essais toxicologiques, </w:t>
      </w:r>
      <w:r w:rsidR="00FB2FA7">
        <w:rPr>
          <w:rFonts w:ascii="Arial" w:hAnsi="Arial" w:cs="Arial"/>
        </w:rPr>
        <w:t>trois</w:t>
      </w:r>
      <w:r w:rsidR="00A72D13">
        <w:rPr>
          <w:rFonts w:ascii="Arial" w:hAnsi="Arial" w:cs="Arial"/>
        </w:rPr>
        <w:t xml:space="preserve"> pesticides</w:t>
      </w:r>
      <w:r w:rsidR="0076099D">
        <w:rPr>
          <w:rFonts w:ascii="Arial" w:hAnsi="Arial" w:cs="Arial"/>
        </w:rPr>
        <w:t>, perturbateurs endocriniens</w:t>
      </w:r>
      <w:r w:rsidR="00FB2FA7">
        <w:rPr>
          <w:rFonts w:ascii="Arial" w:hAnsi="Arial" w:cs="Arial"/>
        </w:rPr>
        <w:t>, à savoir</w:t>
      </w:r>
      <w:r w:rsidR="00A72D13">
        <w:rPr>
          <w:rFonts w:ascii="Arial" w:hAnsi="Arial" w:cs="Arial"/>
        </w:rPr>
        <w:t xml:space="preserve"> l’atrazine, la bentazone et l’isoproturon</w:t>
      </w:r>
      <w:r w:rsidR="00FB2FA7">
        <w:rPr>
          <w:rFonts w:ascii="Arial" w:hAnsi="Arial" w:cs="Arial"/>
        </w:rPr>
        <w:t>,</w:t>
      </w:r>
      <w:r w:rsidR="00A72D13">
        <w:rPr>
          <w:rFonts w:ascii="Arial" w:hAnsi="Arial" w:cs="Arial"/>
        </w:rPr>
        <w:t xml:space="preserve"> ont été sélectionnés</w:t>
      </w:r>
      <w:r w:rsidR="00FB2FA7">
        <w:rPr>
          <w:rFonts w:ascii="Arial" w:hAnsi="Arial" w:cs="Arial"/>
        </w:rPr>
        <w:t xml:space="preserve"> pour notre recherche</w:t>
      </w:r>
      <w:r w:rsidR="00A72D13">
        <w:rPr>
          <w:rFonts w:ascii="Arial" w:hAnsi="Arial" w:cs="Arial"/>
        </w:rPr>
        <w:t>.</w:t>
      </w:r>
    </w:p>
    <w:p w14:paraId="0D09905C" w14:textId="77777777" w:rsidR="00373A63" w:rsidRDefault="00A72D13" w:rsidP="00E406FA">
      <w:pPr>
        <w:pStyle w:val="Resume"/>
        <w:rPr>
          <w:rFonts w:ascii="Arial" w:hAnsi="Arial" w:cs="Arial"/>
        </w:rPr>
      </w:pPr>
      <w:r>
        <w:rPr>
          <w:rFonts w:ascii="Arial" w:hAnsi="Arial" w:cs="Arial"/>
        </w:rPr>
        <w:t>Pour abattre ces composés</w:t>
      </w:r>
      <w:r w:rsidR="00546A91">
        <w:rPr>
          <w:rFonts w:ascii="Arial" w:hAnsi="Arial" w:cs="Arial"/>
        </w:rPr>
        <w:t>, la photocatalyse</w:t>
      </w:r>
      <w:r w:rsidR="0076099D">
        <w:rPr>
          <w:rFonts w:ascii="Arial" w:hAnsi="Arial" w:cs="Arial"/>
        </w:rPr>
        <w:t xml:space="preserve"> hétérogène</w:t>
      </w:r>
      <w:r w:rsidR="00546A91">
        <w:rPr>
          <w:rFonts w:ascii="Arial" w:hAnsi="Arial" w:cs="Arial"/>
        </w:rPr>
        <w:t>, procédé d’</w:t>
      </w:r>
      <w:r w:rsidR="005D303E">
        <w:rPr>
          <w:rFonts w:ascii="Arial" w:hAnsi="Arial" w:cs="Arial"/>
        </w:rPr>
        <w:t xml:space="preserve">oxydation </w:t>
      </w:r>
      <w:r w:rsidR="00546A91">
        <w:rPr>
          <w:rFonts w:ascii="Arial" w:hAnsi="Arial" w:cs="Arial"/>
        </w:rPr>
        <w:t>avancée (POA), a été choisie comme traitement complémentaire.</w:t>
      </w:r>
      <w:r w:rsidR="00D63378">
        <w:rPr>
          <w:rFonts w:ascii="Arial" w:hAnsi="Arial" w:cs="Arial"/>
        </w:rPr>
        <w:t xml:space="preserve"> Elle</w:t>
      </w:r>
      <w:r w:rsidR="004E2548">
        <w:rPr>
          <w:rFonts w:ascii="Arial" w:hAnsi="Arial" w:cs="Arial"/>
        </w:rPr>
        <w:t xml:space="preserve"> repose </w:t>
      </w:r>
      <w:r w:rsidR="004B4210">
        <w:rPr>
          <w:rFonts w:ascii="Arial" w:hAnsi="Arial" w:cs="Arial"/>
        </w:rPr>
        <w:t>sur l</w:t>
      </w:r>
      <w:r w:rsidR="004E2548">
        <w:rPr>
          <w:rFonts w:ascii="Arial" w:hAnsi="Arial" w:cs="Arial"/>
        </w:rPr>
        <w:t>’acti</w:t>
      </w:r>
      <w:r w:rsidR="00DA4D52">
        <w:rPr>
          <w:rFonts w:ascii="Arial" w:hAnsi="Arial" w:cs="Arial"/>
        </w:rPr>
        <w:t>vation photochimique</w:t>
      </w:r>
      <w:r w:rsidR="004E2548">
        <w:rPr>
          <w:rFonts w:ascii="Arial" w:hAnsi="Arial" w:cs="Arial"/>
        </w:rPr>
        <w:t xml:space="preserve"> </w:t>
      </w:r>
      <w:r w:rsidR="009B30CC">
        <w:rPr>
          <w:rFonts w:ascii="Arial" w:hAnsi="Arial" w:cs="Arial"/>
        </w:rPr>
        <w:t>d’un photocatalyseur, ici du TiO</w:t>
      </w:r>
      <w:r w:rsidR="009B30CC">
        <w:rPr>
          <w:rFonts w:ascii="Arial" w:hAnsi="Arial" w:cs="Arial"/>
          <w:vertAlign w:val="subscript"/>
        </w:rPr>
        <w:t>2</w:t>
      </w:r>
      <w:r w:rsidR="00107186">
        <w:rPr>
          <w:rFonts w:ascii="Arial" w:hAnsi="Arial" w:cs="Arial"/>
        </w:rPr>
        <w:t xml:space="preserve"> immobilisé</w:t>
      </w:r>
      <w:r w:rsidR="00A30B21">
        <w:rPr>
          <w:rFonts w:ascii="Arial" w:hAnsi="Arial" w:cs="Arial"/>
        </w:rPr>
        <w:t xml:space="preserve"> sur un substrat</w:t>
      </w:r>
      <w:r w:rsidR="009B30CC">
        <w:rPr>
          <w:rFonts w:ascii="Arial" w:hAnsi="Arial" w:cs="Arial"/>
        </w:rPr>
        <w:t xml:space="preserve"> qui</w:t>
      </w:r>
      <w:r w:rsidR="00FB2FA7">
        <w:rPr>
          <w:rFonts w:ascii="Arial" w:hAnsi="Arial" w:cs="Arial"/>
        </w:rPr>
        <w:t>,</w:t>
      </w:r>
      <w:r w:rsidR="009B30CC">
        <w:rPr>
          <w:rFonts w:ascii="Arial" w:hAnsi="Arial" w:cs="Arial"/>
        </w:rPr>
        <w:t xml:space="preserve"> sous une irradiation suffisamment énergétique</w:t>
      </w:r>
      <w:r w:rsidR="0076099D">
        <w:rPr>
          <w:rFonts w:ascii="Arial" w:hAnsi="Arial" w:cs="Arial"/>
        </w:rPr>
        <w:t xml:space="preserve"> (UV</w:t>
      </w:r>
      <w:r w:rsidR="00E11D6F">
        <w:rPr>
          <w:rFonts w:ascii="Arial" w:hAnsi="Arial" w:cs="Arial"/>
        </w:rPr>
        <w:t>C</w:t>
      </w:r>
      <w:r w:rsidR="0076099D">
        <w:rPr>
          <w:rFonts w:ascii="Arial" w:hAnsi="Arial" w:cs="Arial"/>
        </w:rPr>
        <w:t>)</w:t>
      </w:r>
      <w:r w:rsidR="009B30CC">
        <w:rPr>
          <w:rFonts w:ascii="Arial" w:hAnsi="Arial" w:cs="Arial"/>
        </w:rPr>
        <w:t xml:space="preserve">, produit des radicaux </w:t>
      </w:r>
      <w:r w:rsidR="006858EE">
        <w:rPr>
          <w:rFonts w:ascii="Arial" w:hAnsi="Arial" w:cs="Arial"/>
        </w:rPr>
        <w:t>hydroxyles</w:t>
      </w:r>
      <w:r w:rsidR="002B2A5F" w:rsidRPr="00B074FD">
        <w:rPr>
          <w:rFonts w:ascii="Arial" w:hAnsi="Arial" w:cs="Arial"/>
          <w:color w:val="000000" w:themeColor="text1"/>
        </w:rPr>
        <w:t xml:space="preserve"> </w:t>
      </w:r>
      <w:r w:rsidR="00B074FD" w:rsidRPr="00B074FD">
        <w:rPr>
          <w:rFonts w:ascii="Arial" w:hAnsi="Arial" w:cs="Arial"/>
          <w:color w:val="000000" w:themeColor="text1"/>
        </w:rPr>
        <w:t>[1]</w:t>
      </w:r>
      <w:r w:rsidR="009B30CC" w:rsidRPr="00B074FD">
        <w:rPr>
          <w:rFonts w:ascii="Arial" w:hAnsi="Arial" w:cs="Arial"/>
          <w:color w:val="000000" w:themeColor="text1"/>
        </w:rPr>
        <w:t>.</w:t>
      </w:r>
      <w:r w:rsidR="005D303E" w:rsidRPr="00B074FD">
        <w:rPr>
          <w:rFonts w:ascii="Arial" w:hAnsi="Arial" w:cs="Arial"/>
          <w:color w:val="000000" w:themeColor="text1"/>
        </w:rPr>
        <w:t xml:space="preserve"> </w:t>
      </w:r>
      <w:r w:rsidR="00A30B21">
        <w:rPr>
          <w:rFonts w:ascii="Arial" w:hAnsi="Arial" w:cs="Arial"/>
        </w:rPr>
        <w:t xml:space="preserve">Pour faire face à la contrainte </w:t>
      </w:r>
      <w:r w:rsidR="00A30B21" w:rsidRPr="00B074FD">
        <w:rPr>
          <w:rFonts w:ascii="Arial" w:hAnsi="Arial" w:cs="Arial"/>
          <w:color w:val="000000" w:themeColor="text1"/>
        </w:rPr>
        <w:t>des faibles concentrations qui limitent le transfert des polluants</w:t>
      </w:r>
      <w:r w:rsidR="00C9369C" w:rsidRPr="00B074FD">
        <w:rPr>
          <w:rFonts w:ascii="Arial" w:hAnsi="Arial" w:cs="Arial"/>
          <w:color w:val="000000" w:themeColor="text1"/>
        </w:rPr>
        <w:t xml:space="preserve"> et les performances du procédé</w:t>
      </w:r>
      <w:r w:rsidR="00A30B21" w:rsidRPr="00B074FD">
        <w:rPr>
          <w:rFonts w:ascii="Arial" w:hAnsi="Arial" w:cs="Arial"/>
          <w:color w:val="000000" w:themeColor="text1"/>
        </w:rPr>
        <w:t>, divers</w:t>
      </w:r>
      <w:r w:rsidR="00D63378">
        <w:rPr>
          <w:rFonts w:ascii="Arial" w:hAnsi="Arial" w:cs="Arial"/>
          <w:color w:val="000000" w:themeColor="text1"/>
        </w:rPr>
        <w:t>es</w:t>
      </w:r>
      <w:r w:rsidR="00A30B21" w:rsidRPr="00B074FD">
        <w:rPr>
          <w:rFonts w:ascii="Arial" w:hAnsi="Arial" w:cs="Arial"/>
          <w:color w:val="000000" w:themeColor="text1"/>
        </w:rPr>
        <w:t xml:space="preserve"> études ont mis en évidence </w:t>
      </w:r>
      <w:r w:rsidRPr="00B074FD">
        <w:rPr>
          <w:rFonts w:ascii="Arial" w:hAnsi="Arial" w:cs="Arial"/>
          <w:color w:val="000000" w:themeColor="text1"/>
        </w:rPr>
        <w:t>un effet synergique lorsque du charbon actif est couplé au TiO</w:t>
      </w:r>
      <w:r w:rsidRPr="00B074FD">
        <w:rPr>
          <w:rFonts w:ascii="Arial" w:hAnsi="Arial" w:cs="Arial"/>
          <w:color w:val="000000" w:themeColor="text1"/>
          <w:vertAlign w:val="subscript"/>
        </w:rPr>
        <w:t xml:space="preserve">2 </w:t>
      </w:r>
      <w:r w:rsidR="00B074FD" w:rsidRPr="00B074FD">
        <w:rPr>
          <w:rFonts w:ascii="Arial" w:hAnsi="Arial" w:cs="Arial"/>
          <w:color w:val="000000" w:themeColor="text1"/>
        </w:rPr>
        <w:t>[2]</w:t>
      </w:r>
      <w:r w:rsidRPr="00B074FD">
        <w:rPr>
          <w:rFonts w:ascii="Arial" w:hAnsi="Arial" w:cs="Arial"/>
          <w:color w:val="000000" w:themeColor="text1"/>
        </w:rPr>
        <w:t>.</w:t>
      </w:r>
      <w:r w:rsidR="00E406FA" w:rsidRPr="00B074FD">
        <w:rPr>
          <w:rFonts w:ascii="Arial" w:hAnsi="Arial" w:cs="Arial"/>
          <w:color w:val="000000" w:themeColor="text1"/>
        </w:rPr>
        <w:t xml:space="preserve"> </w:t>
      </w:r>
    </w:p>
    <w:p w14:paraId="42F3CED9" w14:textId="77777777" w:rsidR="00E406FA" w:rsidRDefault="00D63378" w:rsidP="00E406FA">
      <w:pPr>
        <w:pStyle w:val="Resume"/>
        <w:rPr>
          <w:rFonts w:ascii="Arial" w:hAnsi="Arial" w:cs="Arial"/>
        </w:rPr>
      </w:pPr>
      <w:r>
        <w:rPr>
          <w:rFonts w:ascii="Arial" w:hAnsi="Arial" w:cs="Arial"/>
        </w:rPr>
        <w:t xml:space="preserve">Dans cette première partie de l’étude, </w:t>
      </w:r>
      <w:r w:rsidR="0076099D">
        <w:rPr>
          <w:rFonts w:ascii="Arial" w:hAnsi="Arial" w:cs="Arial"/>
        </w:rPr>
        <w:t xml:space="preserve">outre le challenge analytique dans le domaine des traces (ppb), </w:t>
      </w:r>
      <w:r>
        <w:rPr>
          <w:rFonts w:ascii="Arial" w:hAnsi="Arial" w:cs="Arial"/>
        </w:rPr>
        <w:t>l</w:t>
      </w:r>
      <w:r w:rsidR="00E406FA">
        <w:rPr>
          <w:rFonts w:ascii="Arial" w:hAnsi="Arial" w:cs="Arial"/>
        </w:rPr>
        <w:t xml:space="preserve">es objectifs </w:t>
      </w:r>
      <w:r w:rsidR="00FB2FA7">
        <w:rPr>
          <w:rFonts w:ascii="Arial" w:hAnsi="Arial" w:cs="Arial"/>
        </w:rPr>
        <w:t xml:space="preserve">étaient </w:t>
      </w:r>
      <w:r w:rsidR="00E406FA">
        <w:rPr>
          <w:rFonts w:ascii="Arial" w:hAnsi="Arial" w:cs="Arial"/>
        </w:rPr>
        <w:t xml:space="preserve">multiples avec plus particulièrement la mise en évidence </w:t>
      </w:r>
      <w:r>
        <w:rPr>
          <w:rFonts w:ascii="Arial" w:hAnsi="Arial" w:cs="Arial"/>
        </w:rPr>
        <w:t>de l’effet</w:t>
      </w:r>
      <w:r w:rsidR="000F35B4">
        <w:rPr>
          <w:rFonts w:ascii="Arial" w:hAnsi="Arial" w:cs="Arial"/>
        </w:rPr>
        <w:t xml:space="preserve"> </w:t>
      </w:r>
      <w:r w:rsidR="00107186">
        <w:rPr>
          <w:rFonts w:ascii="Arial" w:hAnsi="Arial" w:cs="Arial"/>
        </w:rPr>
        <w:t>potentiellement synergique</w:t>
      </w:r>
      <w:r w:rsidR="000F35B4">
        <w:rPr>
          <w:rFonts w:ascii="Arial" w:hAnsi="Arial" w:cs="Arial"/>
        </w:rPr>
        <w:t xml:space="preserve"> du charbon actif</w:t>
      </w:r>
      <w:r w:rsidR="00FB2FA7" w:rsidRPr="00FB2FA7">
        <w:rPr>
          <w:rFonts w:ascii="Arial" w:hAnsi="Arial" w:cs="Arial"/>
        </w:rPr>
        <w:t xml:space="preserve"> </w:t>
      </w:r>
      <w:r w:rsidR="00FB2FA7">
        <w:rPr>
          <w:rFonts w:ascii="Arial" w:hAnsi="Arial" w:cs="Arial"/>
        </w:rPr>
        <w:t>incorporé au TiO</w:t>
      </w:r>
      <w:r w:rsidR="00FB2FA7" w:rsidRPr="00595520">
        <w:rPr>
          <w:rFonts w:ascii="Arial" w:hAnsi="Arial" w:cs="Arial"/>
          <w:vertAlign w:val="subscript"/>
        </w:rPr>
        <w:t>2</w:t>
      </w:r>
      <w:r w:rsidR="000F35B4">
        <w:rPr>
          <w:rFonts w:ascii="Arial" w:hAnsi="Arial" w:cs="Arial"/>
        </w:rPr>
        <w:t xml:space="preserve">, l’effet </w:t>
      </w:r>
      <w:r w:rsidR="00FB2FA7">
        <w:rPr>
          <w:rFonts w:ascii="Arial" w:hAnsi="Arial" w:cs="Arial"/>
        </w:rPr>
        <w:t xml:space="preserve">positif </w:t>
      </w:r>
      <w:r w:rsidR="000F35B4">
        <w:rPr>
          <w:rFonts w:ascii="Arial" w:hAnsi="Arial" w:cs="Arial"/>
        </w:rPr>
        <w:t xml:space="preserve">de </w:t>
      </w:r>
      <w:r w:rsidR="00FB2FA7">
        <w:rPr>
          <w:rFonts w:ascii="Arial" w:hAnsi="Arial" w:cs="Arial"/>
        </w:rPr>
        <w:t xml:space="preserve">la </w:t>
      </w:r>
      <w:r w:rsidR="000F35B4">
        <w:rPr>
          <w:rFonts w:ascii="Arial" w:hAnsi="Arial" w:cs="Arial"/>
        </w:rPr>
        <w:t>photocatalys</w:t>
      </w:r>
      <w:r w:rsidR="006C62FB">
        <w:rPr>
          <w:rFonts w:ascii="Arial" w:hAnsi="Arial" w:cs="Arial"/>
        </w:rPr>
        <w:t>e</w:t>
      </w:r>
      <w:r w:rsidR="000F35B4">
        <w:rPr>
          <w:rFonts w:ascii="Arial" w:hAnsi="Arial" w:cs="Arial"/>
        </w:rPr>
        <w:t xml:space="preserve"> par rapport à la photolyse et l’étude des cinétiques de photodégradation des </w:t>
      </w:r>
      <w:r w:rsidR="00FB2FA7">
        <w:rPr>
          <w:rFonts w:ascii="Arial" w:hAnsi="Arial" w:cs="Arial"/>
        </w:rPr>
        <w:t xml:space="preserve">trois </w:t>
      </w:r>
      <w:r w:rsidR="000F35B4">
        <w:rPr>
          <w:rFonts w:ascii="Arial" w:hAnsi="Arial" w:cs="Arial"/>
        </w:rPr>
        <w:t xml:space="preserve">pesticides. Tous ces aspects ont été abordés en exploitant </w:t>
      </w:r>
      <w:r w:rsidR="00FB2FA7">
        <w:rPr>
          <w:rFonts w:ascii="Arial" w:hAnsi="Arial" w:cs="Arial"/>
        </w:rPr>
        <w:t>trois</w:t>
      </w:r>
      <w:r w:rsidR="000F35B4">
        <w:rPr>
          <w:rFonts w:ascii="Arial" w:hAnsi="Arial" w:cs="Arial"/>
        </w:rPr>
        <w:t xml:space="preserve"> formulations photocatalytiques</w:t>
      </w:r>
      <w:r w:rsidR="00FB2FA7">
        <w:rPr>
          <w:rFonts w:ascii="Arial" w:hAnsi="Arial" w:cs="Arial"/>
        </w:rPr>
        <w:t> :</w:t>
      </w:r>
      <w:r w:rsidR="000F35B4">
        <w:rPr>
          <w:rFonts w:ascii="Arial" w:hAnsi="Arial" w:cs="Arial"/>
        </w:rPr>
        <w:t xml:space="preserve"> REF (sans charbon actif), CA1 (avec charbon actif 1) et CA2 (avec charbon actif 2)</w:t>
      </w:r>
      <w:r w:rsidR="0076099D">
        <w:rPr>
          <w:rFonts w:ascii="Arial" w:hAnsi="Arial" w:cs="Arial"/>
        </w:rPr>
        <w:t xml:space="preserve"> </w:t>
      </w:r>
      <w:r w:rsidR="00E11D6F">
        <w:rPr>
          <w:rFonts w:ascii="Arial" w:hAnsi="Arial" w:cs="Arial"/>
        </w:rPr>
        <w:t>avec un dépôt (spray) sur verre/quartz à raison de 0.25 mg/m</w:t>
      </w:r>
      <w:r w:rsidR="00E11D6F" w:rsidRPr="00595520">
        <w:rPr>
          <w:rFonts w:ascii="Arial" w:hAnsi="Arial" w:cs="Arial"/>
          <w:vertAlign w:val="superscript"/>
        </w:rPr>
        <w:t>2</w:t>
      </w:r>
      <w:r w:rsidR="00E11D6F">
        <w:rPr>
          <w:rFonts w:ascii="Arial" w:hAnsi="Arial" w:cs="Arial"/>
        </w:rPr>
        <w:t>.</w:t>
      </w:r>
    </w:p>
    <w:p w14:paraId="1E532D5E" w14:textId="0C34AA72" w:rsidR="00373A63" w:rsidRDefault="00107186" w:rsidP="00E406FA">
      <w:pPr>
        <w:pStyle w:val="Resume"/>
        <w:rPr>
          <w:rFonts w:ascii="Arial" w:hAnsi="Arial" w:cs="Arial"/>
        </w:rPr>
      </w:pPr>
      <w:r>
        <w:rPr>
          <w:rFonts w:ascii="Arial" w:hAnsi="Arial" w:cs="Arial"/>
        </w:rPr>
        <w:t>Via un dispositif préliminaire de photo(cata)lyse (cf. figure 1), l</w:t>
      </w:r>
      <w:r w:rsidR="00373A63">
        <w:rPr>
          <w:rFonts w:ascii="Arial" w:hAnsi="Arial" w:cs="Arial"/>
        </w:rPr>
        <w:t>a comparaison des temps de demi-vie (T</w:t>
      </w:r>
      <w:r w:rsidR="00373A63">
        <w:rPr>
          <w:rFonts w:ascii="Arial" w:hAnsi="Arial" w:cs="Arial"/>
          <w:vertAlign w:val="subscript"/>
        </w:rPr>
        <w:t>1/2</w:t>
      </w:r>
      <w:r w:rsidR="00373A63">
        <w:rPr>
          <w:rFonts w:ascii="Arial" w:hAnsi="Arial" w:cs="Arial"/>
        </w:rPr>
        <w:t>)</w:t>
      </w:r>
      <w:r w:rsidR="00FB2FA7">
        <w:rPr>
          <w:rFonts w:ascii="Arial" w:hAnsi="Arial" w:cs="Arial"/>
        </w:rPr>
        <w:t>,</w:t>
      </w:r>
      <w:r w:rsidR="00373A63">
        <w:rPr>
          <w:rFonts w:ascii="Arial" w:hAnsi="Arial" w:cs="Arial"/>
        </w:rPr>
        <w:t xml:space="preserve"> repris</w:t>
      </w:r>
      <w:r>
        <w:rPr>
          <w:rFonts w:ascii="Arial" w:hAnsi="Arial" w:cs="Arial"/>
        </w:rPr>
        <w:t>e</w:t>
      </w:r>
      <w:r w:rsidR="00373A63">
        <w:rPr>
          <w:rFonts w:ascii="Arial" w:hAnsi="Arial" w:cs="Arial"/>
        </w:rPr>
        <w:t xml:space="preserve"> à la figure </w:t>
      </w:r>
      <w:r>
        <w:rPr>
          <w:rFonts w:ascii="Arial" w:hAnsi="Arial" w:cs="Arial"/>
        </w:rPr>
        <w:t>2</w:t>
      </w:r>
      <w:r w:rsidR="00D63378">
        <w:rPr>
          <w:rFonts w:ascii="Arial" w:hAnsi="Arial" w:cs="Arial"/>
        </w:rPr>
        <w:t>,</w:t>
      </w:r>
      <w:r w:rsidR="00373A63">
        <w:rPr>
          <w:rFonts w:ascii="Arial" w:hAnsi="Arial" w:cs="Arial"/>
        </w:rPr>
        <w:t xml:space="preserve"> met en évidence une </w:t>
      </w:r>
      <w:r w:rsidR="006858EE">
        <w:rPr>
          <w:rFonts w:ascii="Arial" w:hAnsi="Arial" w:cs="Arial"/>
        </w:rPr>
        <w:t>stabilité</w:t>
      </w:r>
      <w:r w:rsidR="00373A63">
        <w:rPr>
          <w:rFonts w:ascii="Arial" w:hAnsi="Arial" w:cs="Arial"/>
        </w:rPr>
        <w:t xml:space="preserve"> plus importante de la de la bentazone. Pour chaque molécule, l’utilisation d’un photocatalyseur a permis d’améliorer nettement le taux d’abattement avec une diminution relative de T</w:t>
      </w:r>
      <w:r w:rsidR="00373A63">
        <w:rPr>
          <w:rFonts w:ascii="Arial" w:hAnsi="Arial" w:cs="Arial"/>
          <w:vertAlign w:val="subscript"/>
        </w:rPr>
        <w:t xml:space="preserve">1/2 </w:t>
      </w:r>
      <w:r w:rsidR="00373A63">
        <w:rPr>
          <w:rFonts w:ascii="Arial" w:hAnsi="Arial" w:cs="Arial"/>
        </w:rPr>
        <w:t>jusqu’à 83% pour la bentazone et l’isoproturon.</w:t>
      </w:r>
      <w:r w:rsidR="00E11D6F">
        <w:rPr>
          <w:rFonts w:ascii="Arial" w:hAnsi="Arial" w:cs="Arial"/>
        </w:rPr>
        <w:t xml:space="preserve"> Les cinétiques ont été modélisées et étudiées en variant la concentration initiale du pesticide, la masse de photocatalyseur ainsi que l’intensité lumineuse.</w:t>
      </w:r>
    </w:p>
    <w:p w14:paraId="780038BA" w14:textId="77777777" w:rsidR="00B074FD" w:rsidRDefault="00274CAE" w:rsidP="00E406FA">
      <w:pPr>
        <w:pStyle w:val="Resume"/>
        <w:rPr>
          <w:rFonts w:ascii="Arial" w:hAnsi="Arial" w:cs="Arial"/>
        </w:rPr>
      </w:pPr>
      <w:r>
        <w:rPr>
          <w:rFonts w:ascii="Arial" w:hAnsi="Arial" w:cs="Arial"/>
        </w:rPr>
        <w:t>A l’opposé, la présence de charbon actif n’a pas eu l’effet escompté par rapport à la formulation de référence</w:t>
      </w:r>
      <w:r w:rsidR="00DA4D52">
        <w:rPr>
          <w:rFonts w:ascii="Arial" w:hAnsi="Arial" w:cs="Arial"/>
        </w:rPr>
        <w:t xml:space="preserve"> (voir figure 3)</w:t>
      </w:r>
      <w:r>
        <w:rPr>
          <w:rFonts w:ascii="Arial" w:hAnsi="Arial" w:cs="Arial"/>
        </w:rPr>
        <w:t>. Grâce à des essais d’adsorption, il apparaît que les molécules s’adsorbent très lentement. Des temps d’équilibre de plusieurs jours ont été estimés</w:t>
      </w:r>
      <w:r w:rsidR="00107186">
        <w:rPr>
          <w:rFonts w:ascii="Arial" w:hAnsi="Arial" w:cs="Arial"/>
        </w:rPr>
        <w:t xml:space="preserve"> </w:t>
      </w:r>
      <w:r w:rsidR="00FB2FA7">
        <w:rPr>
          <w:rFonts w:ascii="Arial" w:hAnsi="Arial" w:cs="Arial"/>
        </w:rPr>
        <w:t>dans les conditions opératoires investiguées</w:t>
      </w:r>
      <w:r>
        <w:rPr>
          <w:rFonts w:ascii="Arial" w:hAnsi="Arial" w:cs="Arial"/>
        </w:rPr>
        <w:t xml:space="preserve">. La vitesse de préconcentration des polluants </w:t>
      </w:r>
      <w:r w:rsidR="00CE6427">
        <w:rPr>
          <w:rFonts w:ascii="Arial" w:hAnsi="Arial" w:cs="Arial"/>
        </w:rPr>
        <w:t>semble in</w:t>
      </w:r>
      <w:r>
        <w:rPr>
          <w:rFonts w:ascii="Arial" w:hAnsi="Arial" w:cs="Arial"/>
        </w:rPr>
        <w:t xml:space="preserve">suffisante </w:t>
      </w:r>
      <w:r w:rsidR="00CE6427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promouvoir la cinétique de photocatalyse</w:t>
      </w:r>
      <w:r w:rsidR="00B074FD">
        <w:rPr>
          <w:rFonts w:ascii="Arial" w:hAnsi="Arial" w:cs="Arial"/>
        </w:rPr>
        <w:t xml:space="preserve"> [3].</w:t>
      </w:r>
    </w:p>
    <w:p w14:paraId="3B8D1FA5" w14:textId="5B7B8425" w:rsidR="00595520" w:rsidRPr="00DB6234" w:rsidRDefault="00361FA5" w:rsidP="00D81027">
      <w:pPr>
        <w:autoSpaceDE/>
        <w:autoSpaceDN/>
        <w:spacing w:before="240"/>
        <w:ind w:firstLine="0"/>
        <w:rPr>
          <w:rFonts w:ascii="Arial" w:hAnsi="Arial" w:cs="Arial"/>
          <w:sz w:val="18"/>
        </w:rPr>
      </w:pPr>
      <w:r w:rsidRPr="00DB6234">
        <w:rPr>
          <w:rFonts w:ascii="Arial" w:hAnsi="Arial" w:cs="Arial"/>
          <w:sz w:val="22"/>
        </w:rPr>
        <w:t>En pers</w:t>
      </w:r>
      <w:r w:rsidR="00EF1723" w:rsidRPr="00DB6234">
        <w:rPr>
          <w:rFonts w:ascii="Arial" w:hAnsi="Arial" w:cs="Arial"/>
          <w:sz w:val="22"/>
        </w:rPr>
        <w:t>pective</w:t>
      </w:r>
      <w:r w:rsidRPr="00DB6234">
        <w:rPr>
          <w:rFonts w:ascii="Arial" w:hAnsi="Arial" w:cs="Arial"/>
          <w:sz w:val="22"/>
        </w:rPr>
        <w:t>, d</w:t>
      </w:r>
      <w:r w:rsidR="00107186" w:rsidRPr="00DB6234">
        <w:rPr>
          <w:rFonts w:ascii="Arial" w:hAnsi="Arial" w:cs="Arial"/>
          <w:sz w:val="22"/>
        </w:rPr>
        <w:t xml:space="preserve">es études expérimentales plus poussées sur </w:t>
      </w:r>
      <w:r w:rsidR="006C62FB">
        <w:rPr>
          <w:rFonts w:ascii="Arial" w:hAnsi="Arial" w:cs="Arial"/>
          <w:sz w:val="22"/>
        </w:rPr>
        <w:t>un</w:t>
      </w:r>
      <w:r w:rsidR="00107186" w:rsidRPr="00DB6234">
        <w:rPr>
          <w:rFonts w:ascii="Arial" w:hAnsi="Arial" w:cs="Arial"/>
          <w:sz w:val="22"/>
        </w:rPr>
        <w:t xml:space="preserve"> </w:t>
      </w:r>
      <w:r w:rsidR="00E11D6F" w:rsidRPr="00DB6234">
        <w:rPr>
          <w:rFonts w:ascii="Arial" w:hAnsi="Arial" w:cs="Arial"/>
          <w:sz w:val="22"/>
        </w:rPr>
        <w:t>photo</w:t>
      </w:r>
      <w:r w:rsidR="006858EE" w:rsidRPr="00DB6234">
        <w:rPr>
          <w:rFonts w:ascii="Arial" w:hAnsi="Arial" w:cs="Arial"/>
          <w:sz w:val="22"/>
        </w:rPr>
        <w:t>r</w:t>
      </w:r>
      <w:r w:rsidR="00E11D6F" w:rsidRPr="00DB6234">
        <w:rPr>
          <w:rFonts w:ascii="Arial" w:hAnsi="Arial" w:cs="Arial"/>
          <w:sz w:val="22"/>
        </w:rPr>
        <w:t xml:space="preserve">éacteur instrumenté </w:t>
      </w:r>
      <w:r w:rsidR="00107186" w:rsidRPr="00DB6234">
        <w:rPr>
          <w:rFonts w:ascii="Arial" w:hAnsi="Arial" w:cs="Arial"/>
          <w:sz w:val="22"/>
        </w:rPr>
        <w:t>de laboratoire</w:t>
      </w:r>
      <w:r w:rsidR="00E11D6F" w:rsidRPr="00DB6234">
        <w:rPr>
          <w:rFonts w:ascii="Arial" w:hAnsi="Arial" w:cs="Arial"/>
          <w:sz w:val="22"/>
        </w:rPr>
        <w:t>,</w:t>
      </w:r>
      <w:r w:rsidR="00107186" w:rsidRPr="00DB6234">
        <w:rPr>
          <w:rFonts w:ascii="Arial" w:hAnsi="Arial" w:cs="Arial"/>
          <w:sz w:val="22"/>
        </w:rPr>
        <w:t xml:space="preserve"> présenté à la figure 4</w:t>
      </w:r>
      <w:r w:rsidR="00E11D6F" w:rsidRPr="00DB6234">
        <w:rPr>
          <w:rFonts w:ascii="Arial" w:hAnsi="Arial" w:cs="Arial"/>
          <w:sz w:val="22"/>
        </w:rPr>
        <w:t>,</w:t>
      </w:r>
      <w:r w:rsidR="00107186" w:rsidRPr="00DB6234">
        <w:rPr>
          <w:rFonts w:ascii="Arial" w:hAnsi="Arial" w:cs="Arial"/>
          <w:sz w:val="22"/>
        </w:rPr>
        <w:t xml:space="preserve"> </w:t>
      </w:r>
      <w:r w:rsidR="00D63378" w:rsidRPr="00DB6234">
        <w:rPr>
          <w:rFonts w:ascii="Arial" w:hAnsi="Arial" w:cs="Arial"/>
          <w:sz w:val="22"/>
        </w:rPr>
        <w:t xml:space="preserve">permettront d’accéder aux paramètres cinétiques </w:t>
      </w:r>
      <w:r w:rsidR="00EF1723" w:rsidRPr="00DB6234">
        <w:rPr>
          <w:rFonts w:ascii="Arial" w:hAnsi="Arial" w:cs="Arial"/>
          <w:sz w:val="22"/>
        </w:rPr>
        <w:t>indispensables</w:t>
      </w:r>
      <w:r w:rsidR="00D63378" w:rsidRPr="00DB6234">
        <w:rPr>
          <w:rFonts w:ascii="Arial" w:hAnsi="Arial" w:cs="Arial"/>
          <w:sz w:val="22"/>
        </w:rPr>
        <w:t xml:space="preserve"> au </w:t>
      </w:r>
      <w:r w:rsidR="00E11D6F" w:rsidRPr="00DB6234">
        <w:rPr>
          <w:rFonts w:ascii="Arial" w:hAnsi="Arial" w:cs="Arial"/>
          <w:sz w:val="22"/>
        </w:rPr>
        <w:t xml:space="preserve">bon </w:t>
      </w:r>
      <w:r w:rsidR="00D63378" w:rsidRPr="00DB6234">
        <w:rPr>
          <w:rFonts w:ascii="Arial" w:hAnsi="Arial" w:cs="Arial"/>
          <w:sz w:val="22"/>
        </w:rPr>
        <w:t>dim</w:t>
      </w:r>
      <w:bookmarkStart w:id="0" w:name="_GoBack"/>
      <w:bookmarkEnd w:id="0"/>
      <w:r w:rsidR="00D63378" w:rsidRPr="00DB6234">
        <w:rPr>
          <w:rFonts w:ascii="Arial" w:hAnsi="Arial" w:cs="Arial"/>
          <w:sz w:val="22"/>
        </w:rPr>
        <w:t>ensionnement de l’installation finale</w:t>
      </w:r>
      <w:r w:rsidR="00EF1723" w:rsidRPr="00DB6234">
        <w:rPr>
          <w:rFonts w:ascii="Arial" w:hAnsi="Arial" w:cs="Arial"/>
          <w:sz w:val="22"/>
        </w:rPr>
        <w:t>.</w:t>
      </w:r>
    </w:p>
    <w:p w14:paraId="3003E252" w14:textId="77777777" w:rsidR="006C0E77" w:rsidRPr="00595520" w:rsidRDefault="00B074FD" w:rsidP="00112E7D">
      <w:pPr>
        <w:autoSpaceDE/>
        <w:autoSpaceDN/>
        <w:ind w:firstLine="0"/>
        <w:jc w:val="left"/>
        <w:rPr>
          <w:rFonts w:ascii="Arial" w:hAnsi="Arial" w:cs="Arial"/>
          <w:sz w:val="20"/>
        </w:rPr>
      </w:pPr>
      <w:r w:rsidRPr="00595520">
        <w:rPr>
          <w:rFonts w:ascii="Arial" w:hAnsi="Arial" w:cs="Arial"/>
          <w:b/>
          <w:sz w:val="20"/>
        </w:rPr>
        <w:lastRenderedPageBreak/>
        <w:t>Références</w:t>
      </w:r>
    </w:p>
    <w:p w14:paraId="200E346A" w14:textId="77777777" w:rsidR="00B074FD" w:rsidRDefault="00B074FD" w:rsidP="00112E7D">
      <w:pPr>
        <w:widowControl w:val="0"/>
        <w:adjustRightInd w:val="0"/>
        <w:spacing w:after="160"/>
        <w:ind w:left="480" w:hanging="480"/>
        <w:rPr>
          <w:rFonts w:ascii="Arial" w:hAnsi="Arial" w:cs="Arial"/>
          <w:noProof/>
          <w:sz w:val="20"/>
        </w:rPr>
      </w:pPr>
      <w:r w:rsidRPr="00B074FD">
        <w:rPr>
          <w:rFonts w:ascii="Arial" w:hAnsi="Arial" w:cs="Arial"/>
          <w:sz w:val="20"/>
        </w:rPr>
        <w:t>[1]</w:t>
      </w:r>
      <w:r w:rsidRPr="00B074FD">
        <w:rPr>
          <w:rFonts w:ascii="Arial" w:hAnsi="Arial" w:cs="Arial"/>
          <w:sz w:val="20"/>
        </w:rPr>
        <w:tab/>
      </w:r>
      <w:r w:rsidRPr="00B074FD">
        <w:rPr>
          <w:rFonts w:ascii="Arial" w:hAnsi="Arial" w:cs="Arial"/>
          <w:sz w:val="20"/>
        </w:rPr>
        <w:fldChar w:fldCharType="begin" w:fldLock="1"/>
      </w:r>
      <w:r w:rsidRPr="00B074FD">
        <w:rPr>
          <w:rFonts w:ascii="Arial" w:hAnsi="Arial" w:cs="Arial"/>
          <w:sz w:val="20"/>
        </w:rPr>
        <w:instrText xml:space="preserve">ADDIN Mendeley Bibliography CSL_BIBLIOGRAPHY </w:instrText>
      </w:r>
      <w:r w:rsidRPr="00B074FD">
        <w:rPr>
          <w:rFonts w:ascii="Arial" w:hAnsi="Arial" w:cs="Arial"/>
          <w:sz w:val="20"/>
        </w:rPr>
        <w:fldChar w:fldCharType="separate"/>
      </w:r>
      <w:r w:rsidRPr="00B074FD">
        <w:rPr>
          <w:rFonts w:ascii="Arial" w:hAnsi="Arial" w:cs="Arial"/>
          <w:noProof/>
          <w:sz w:val="20"/>
        </w:rPr>
        <w:t xml:space="preserve">Zaviska, F., Drogui, P., Mercier, G., &amp; Blais, J.-F., 2009. Procédés d’oxydation avancée dans le traitement des eaux et des effluents industriels: Application à la dégradation des polluants réfractaires. </w:t>
      </w:r>
      <w:r w:rsidRPr="00B074FD">
        <w:rPr>
          <w:rFonts w:ascii="Arial" w:hAnsi="Arial" w:cs="Arial"/>
          <w:i/>
          <w:iCs/>
          <w:noProof/>
          <w:sz w:val="20"/>
        </w:rPr>
        <w:t>Revue des sciences de l’eau</w:t>
      </w:r>
      <w:r w:rsidRPr="00B074FD">
        <w:rPr>
          <w:rFonts w:ascii="Arial" w:hAnsi="Arial" w:cs="Arial"/>
          <w:noProof/>
          <w:sz w:val="20"/>
        </w:rPr>
        <w:t>, 22(4), p.535.</w:t>
      </w:r>
    </w:p>
    <w:p w14:paraId="5BFD8B11" w14:textId="77777777" w:rsidR="00B074FD" w:rsidRPr="00B074FD" w:rsidRDefault="00B074FD" w:rsidP="00B074FD">
      <w:pPr>
        <w:widowControl w:val="0"/>
        <w:adjustRightInd w:val="0"/>
        <w:spacing w:before="0" w:after="160"/>
        <w:ind w:left="480" w:hanging="480"/>
        <w:rPr>
          <w:rFonts w:ascii="Arial" w:hAnsi="Arial" w:cs="Arial"/>
          <w:noProof/>
          <w:sz w:val="20"/>
        </w:rPr>
      </w:pPr>
      <w:r w:rsidRPr="00B074FD">
        <w:rPr>
          <w:rFonts w:ascii="Arial" w:hAnsi="Arial" w:cs="Arial"/>
          <w:noProof/>
          <w:sz w:val="20"/>
        </w:rPr>
        <w:t>[2]</w:t>
      </w:r>
      <w:r w:rsidRPr="00B074FD">
        <w:rPr>
          <w:rFonts w:ascii="Arial" w:hAnsi="Arial" w:cs="Arial"/>
          <w:noProof/>
          <w:sz w:val="20"/>
        </w:rPr>
        <w:tab/>
      </w:r>
      <w:r w:rsidRPr="00B074FD">
        <w:rPr>
          <w:sz w:val="20"/>
        </w:rPr>
        <w:fldChar w:fldCharType="begin" w:fldLock="1"/>
      </w:r>
      <w:r w:rsidRPr="00B074FD">
        <w:rPr>
          <w:sz w:val="20"/>
        </w:rPr>
        <w:instrText xml:space="preserve">ADDIN Mendeley Bibliography CSL_BIBLIOGRAPHY </w:instrText>
      </w:r>
      <w:r w:rsidRPr="00B074FD">
        <w:rPr>
          <w:sz w:val="20"/>
        </w:rPr>
        <w:fldChar w:fldCharType="separate"/>
      </w:r>
      <w:r w:rsidRPr="00B074FD">
        <w:rPr>
          <w:rFonts w:ascii="Arial" w:hAnsi="Arial" w:cs="Arial"/>
          <w:noProof/>
          <w:sz w:val="20"/>
        </w:rPr>
        <w:t xml:space="preserve">Takeda, N., Iwata, N., Torimot, T., &amp; Yoneyama, H., 1998. Influence of carbon black as an adsorbent used in TiO2 photocatalyst films on photodegradation behaviors of propyzamide. </w:t>
      </w:r>
      <w:r w:rsidRPr="00B074FD">
        <w:rPr>
          <w:rFonts w:ascii="Arial" w:hAnsi="Arial" w:cs="Arial"/>
          <w:i/>
          <w:iCs/>
          <w:noProof/>
          <w:sz w:val="20"/>
        </w:rPr>
        <w:t>Journal of Catalysis</w:t>
      </w:r>
      <w:r w:rsidRPr="00B074FD">
        <w:rPr>
          <w:rFonts w:ascii="Arial" w:hAnsi="Arial" w:cs="Arial"/>
          <w:noProof/>
          <w:sz w:val="20"/>
        </w:rPr>
        <w:t>, 177(2), pp.240–246.</w:t>
      </w:r>
    </w:p>
    <w:p w14:paraId="28CCECBC" w14:textId="77777777" w:rsidR="00B074FD" w:rsidRPr="00B074FD" w:rsidRDefault="00B074FD" w:rsidP="00B074FD">
      <w:pPr>
        <w:widowControl w:val="0"/>
        <w:adjustRightInd w:val="0"/>
        <w:spacing w:before="0" w:after="160"/>
        <w:ind w:left="480" w:hanging="480"/>
        <w:rPr>
          <w:rFonts w:ascii="Arial" w:hAnsi="Arial" w:cs="Arial"/>
          <w:noProof/>
          <w:sz w:val="20"/>
        </w:rPr>
      </w:pPr>
      <w:r w:rsidRPr="00B074FD">
        <w:rPr>
          <w:sz w:val="20"/>
        </w:rPr>
        <w:fldChar w:fldCharType="end"/>
      </w:r>
      <w:r w:rsidRPr="00B074FD">
        <w:rPr>
          <w:rFonts w:ascii="Arial" w:hAnsi="Arial" w:cs="Arial"/>
          <w:sz w:val="20"/>
        </w:rPr>
        <w:t>[3]</w:t>
      </w:r>
      <w:r w:rsidRPr="00B074FD">
        <w:rPr>
          <w:rFonts w:ascii="Arial" w:hAnsi="Arial" w:cs="Arial"/>
          <w:sz w:val="20"/>
        </w:rPr>
        <w:tab/>
      </w:r>
      <w:r w:rsidRPr="00B074FD">
        <w:rPr>
          <w:rFonts w:ascii="Arial" w:hAnsi="Arial" w:cs="Arial"/>
          <w:noProof/>
          <w:sz w:val="20"/>
        </w:rPr>
        <w:t xml:space="preserve">Velasco, L.F., Parra, J.B., &amp; Ania, C.O., 2010. </w:t>
      </w:r>
      <w:r w:rsidRPr="00112E7D">
        <w:rPr>
          <w:rFonts w:ascii="Arial" w:hAnsi="Arial" w:cs="Arial"/>
          <w:noProof/>
          <w:sz w:val="20"/>
          <w:lang w:val="en-US"/>
        </w:rPr>
        <w:t xml:space="preserve">Role of activated carbon features on the photocatalytic degradation of phenol. </w:t>
      </w:r>
      <w:r w:rsidRPr="00B074FD">
        <w:rPr>
          <w:rFonts w:ascii="Arial" w:hAnsi="Arial" w:cs="Arial"/>
          <w:i/>
          <w:iCs/>
          <w:noProof/>
          <w:sz w:val="20"/>
        </w:rPr>
        <w:t>Applied Surface Science</w:t>
      </w:r>
      <w:r w:rsidRPr="00B074FD">
        <w:rPr>
          <w:rFonts w:ascii="Arial" w:hAnsi="Arial" w:cs="Arial"/>
          <w:noProof/>
          <w:sz w:val="20"/>
        </w:rPr>
        <w:t>, 256(17), pp.5254–5258.</w:t>
      </w:r>
    </w:p>
    <w:p w14:paraId="58A2AECE" w14:textId="77777777" w:rsidR="006C0E77" w:rsidRDefault="00B074FD" w:rsidP="00B074FD">
      <w:pPr>
        <w:pStyle w:val="Sous-titre"/>
        <w:rPr>
          <w:rFonts w:ascii="Arial" w:hAnsi="Arial" w:cs="Arial"/>
          <w:sz w:val="20"/>
          <w:szCs w:val="20"/>
        </w:rPr>
      </w:pPr>
      <w:r w:rsidRPr="00B074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Remerciements</w:t>
      </w:r>
    </w:p>
    <w:p w14:paraId="7418EBC0" w14:textId="77777777" w:rsidR="006858EE" w:rsidRDefault="006C0E77">
      <w:pPr>
        <w:adjustRightInd w:val="0"/>
        <w:spacing w:before="0"/>
        <w:jc w:val="left"/>
        <w:rPr>
          <w:rFonts w:ascii="Arial" w:eastAsia="Times New Roman" w:hAnsi="Arial" w:cs="Arial"/>
          <w:sz w:val="20"/>
          <w:lang w:eastAsia="fr-FR"/>
        </w:rPr>
      </w:pPr>
      <w:r w:rsidRPr="006C0E77">
        <w:rPr>
          <w:rFonts w:ascii="Arial" w:eastAsia="Times New Roman" w:hAnsi="Arial" w:cs="Arial"/>
          <w:sz w:val="20"/>
          <w:lang w:eastAsia="fr-FR"/>
        </w:rPr>
        <w:t>Les auteurs souhaitent exprimer leur gratitude à</w:t>
      </w:r>
      <w:r w:rsidR="00B074FD">
        <w:rPr>
          <w:rFonts w:ascii="Arial" w:eastAsia="Times New Roman" w:hAnsi="Arial" w:cs="Arial"/>
          <w:sz w:val="20"/>
          <w:lang w:eastAsia="fr-FR"/>
        </w:rPr>
        <w:t xml:space="preserve"> Florent Baudart, Robin Ronneau</w:t>
      </w:r>
      <w:r w:rsidR="004E5A16">
        <w:rPr>
          <w:rFonts w:ascii="Arial" w:eastAsia="Times New Roman" w:hAnsi="Arial" w:cs="Arial"/>
          <w:sz w:val="20"/>
          <w:lang w:eastAsia="fr-FR"/>
        </w:rPr>
        <w:t>,</w:t>
      </w:r>
      <w:r w:rsidR="00B074FD">
        <w:rPr>
          <w:rFonts w:ascii="Arial" w:eastAsia="Times New Roman" w:hAnsi="Arial" w:cs="Arial"/>
          <w:sz w:val="20"/>
          <w:lang w:eastAsia="fr-FR"/>
        </w:rPr>
        <w:t xml:space="preserve"> Sara Sambissa</w:t>
      </w:r>
      <w:r w:rsidR="006858EE">
        <w:rPr>
          <w:rFonts w:ascii="Arial" w:eastAsia="Times New Roman" w:hAnsi="Arial" w:cs="Arial"/>
          <w:sz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lang w:eastAsia="fr-FR"/>
        </w:rPr>
        <w:t>pour le</w:t>
      </w:r>
      <w:r w:rsidR="00B074FD">
        <w:rPr>
          <w:rFonts w:ascii="Arial" w:eastAsia="Times New Roman" w:hAnsi="Arial" w:cs="Arial"/>
          <w:sz w:val="20"/>
          <w:lang w:eastAsia="fr-FR"/>
        </w:rPr>
        <w:t>ur</w:t>
      </w:r>
      <w:r>
        <w:rPr>
          <w:rFonts w:ascii="Arial" w:eastAsia="Times New Roman" w:hAnsi="Arial" w:cs="Arial"/>
          <w:sz w:val="20"/>
          <w:lang w:eastAsia="fr-FR"/>
        </w:rPr>
        <w:t xml:space="preserve"> soutien apporté à ces recherches</w:t>
      </w:r>
      <w:r w:rsidRPr="006C0E77">
        <w:rPr>
          <w:rFonts w:ascii="Arial" w:eastAsia="Times New Roman" w:hAnsi="Arial" w:cs="Arial"/>
          <w:sz w:val="20"/>
          <w:lang w:eastAsia="fr-FR"/>
        </w:rPr>
        <w:t>.</w:t>
      </w:r>
      <w:r w:rsidR="006858EE">
        <w:rPr>
          <w:rFonts w:ascii="Arial" w:eastAsia="Times New Roman" w:hAnsi="Arial" w:cs="Arial"/>
          <w:sz w:val="20"/>
          <w:lang w:eastAsia="fr-FR"/>
        </w:rPr>
        <w:t xml:space="preserve"> Ils remercient également la Région wallonne pour le</w:t>
      </w:r>
      <w:r w:rsidR="004B4210">
        <w:rPr>
          <w:rFonts w:ascii="Arial" w:eastAsia="Times New Roman" w:hAnsi="Arial" w:cs="Arial"/>
          <w:sz w:val="20"/>
          <w:lang w:eastAsia="fr-FR"/>
        </w:rPr>
        <w:t xml:space="preserve">s subventions attribuées au </w:t>
      </w:r>
      <w:r w:rsidR="006858EE">
        <w:rPr>
          <w:rFonts w:ascii="Arial" w:eastAsia="Times New Roman" w:hAnsi="Arial" w:cs="Arial"/>
          <w:sz w:val="20"/>
          <w:lang w:eastAsia="fr-FR"/>
        </w:rPr>
        <w:t xml:space="preserve">projet WaterPOP dans lequel s’inscrit cette étude. </w:t>
      </w:r>
    </w:p>
    <w:tbl>
      <w:tblPr>
        <w:tblStyle w:val="Grilledutableau"/>
        <w:tblpPr w:leftFromText="141" w:rightFromText="141" w:vertAnchor="text" w:horzAnchor="margin" w:tblpY="7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26"/>
      </w:tblGrid>
      <w:tr w:rsidR="00112E7D" w14:paraId="384C7FE8" w14:textId="77777777" w:rsidTr="00DB6234">
        <w:trPr>
          <w:trHeight w:val="3742"/>
        </w:trPr>
        <w:tc>
          <w:tcPr>
            <w:tcW w:w="4356" w:type="dxa"/>
          </w:tcPr>
          <w:p w14:paraId="7B19198F" w14:textId="77777777" w:rsidR="00112E7D" w:rsidRDefault="00112E7D" w:rsidP="00DB6234">
            <w:pPr>
              <w:keepNext/>
              <w:spacing w:before="0"/>
              <w:ind w:firstLine="0"/>
              <w:jc w:val="center"/>
            </w:pPr>
            <w:r>
              <w:rPr>
                <w:rFonts w:ascii="Arial" w:hAnsi="Arial" w:cs="Arial"/>
              </w:rPr>
              <w:br w:type="page"/>
            </w:r>
            <w:r w:rsidRPr="004E5A16"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152A8DDE" wp14:editId="1C913B77">
                  <wp:extent cx="1924099" cy="1872000"/>
                  <wp:effectExtent l="19050" t="19050" r="19050" b="13970"/>
                  <wp:docPr id="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7" t="152" r="13232" b="492"/>
                          <a:stretch/>
                        </pic:blipFill>
                        <pic:spPr>
                          <a:xfrm>
                            <a:off x="0" y="0"/>
                            <a:ext cx="1924099" cy="187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68A0C" w14:textId="77777777" w:rsidR="00112E7D" w:rsidRPr="004E5A16" w:rsidRDefault="00112E7D" w:rsidP="00DB6234">
            <w:pPr>
              <w:pStyle w:val="Lgende"/>
              <w:spacing w:after="0"/>
              <w:rPr>
                <w:rFonts w:ascii="Arial" w:hAnsi="Arial" w:cs="Arial"/>
                <w:i w:val="0"/>
              </w:rPr>
            </w:pPr>
            <w:r w:rsidRPr="004E5A16">
              <w:rPr>
                <w:rFonts w:ascii="Arial" w:hAnsi="Arial" w:cs="Arial"/>
                <w:i w:val="0"/>
              </w:rPr>
              <w:t xml:space="preserve">Figure </w:t>
            </w:r>
            <w:r w:rsidRPr="004E5A16">
              <w:rPr>
                <w:rFonts w:ascii="Arial" w:hAnsi="Arial" w:cs="Arial"/>
                <w:i w:val="0"/>
              </w:rPr>
              <w:fldChar w:fldCharType="begin"/>
            </w:r>
            <w:r w:rsidRPr="004E5A16">
              <w:rPr>
                <w:rFonts w:ascii="Arial" w:hAnsi="Arial" w:cs="Arial"/>
                <w:i w:val="0"/>
              </w:rPr>
              <w:instrText xml:space="preserve"> SEQ Figure \* ARABIC </w:instrText>
            </w:r>
            <w:r w:rsidRPr="004E5A16">
              <w:rPr>
                <w:rFonts w:ascii="Arial" w:hAnsi="Arial" w:cs="Arial"/>
                <w:i w:val="0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</w:rPr>
              <w:t>1</w:t>
            </w:r>
            <w:r w:rsidRPr="004E5A16">
              <w:rPr>
                <w:rFonts w:ascii="Arial" w:hAnsi="Arial" w:cs="Arial"/>
                <w:i w:val="0"/>
              </w:rPr>
              <w:fldChar w:fldCharType="end"/>
            </w:r>
            <w:r>
              <w:rPr>
                <w:rFonts w:ascii="Arial" w:hAnsi="Arial" w:cs="Arial"/>
                <w:i w:val="0"/>
              </w:rPr>
              <w:t xml:space="preserve"> : </w:t>
            </w:r>
            <w:r w:rsidRPr="009234F0">
              <w:rPr>
                <w:rFonts w:ascii="Arial" w:hAnsi="Arial" w:cs="Arial"/>
              </w:rPr>
              <w:t>Dispositif préliminaire de photolyse et de photocatalyse UVC</w:t>
            </w:r>
          </w:p>
        </w:tc>
        <w:tc>
          <w:tcPr>
            <w:tcW w:w="4326" w:type="dxa"/>
          </w:tcPr>
          <w:p w14:paraId="691AB504" w14:textId="77777777" w:rsidR="00112E7D" w:rsidRDefault="00112E7D" w:rsidP="00DB6234">
            <w:pPr>
              <w:keepNext/>
              <w:spacing w:before="0"/>
              <w:ind w:firstLine="0"/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AA31874" wp14:editId="2DEDD3E9">
                  <wp:extent cx="2610000" cy="1872000"/>
                  <wp:effectExtent l="0" t="0" r="0" b="13970"/>
                  <wp:docPr id="4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409F3F4F" w14:textId="77777777" w:rsidR="00112E7D" w:rsidRPr="003C6E56" w:rsidRDefault="00112E7D" w:rsidP="00DB6234">
            <w:pPr>
              <w:pStyle w:val="Lgende"/>
              <w:spacing w:after="0"/>
              <w:rPr>
                <w:rFonts w:ascii="Arial" w:hAnsi="Arial" w:cs="Arial"/>
                <w:i w:val="0"/>
              </w:rPr>
            </w:pPr>
            <w:r w:rsidRPr="003C6E56">
              <w:rPr>
                <w:rFonts w:ascii="Arial" w:hAnsi="Arial" w:cs="Arial"/>
                <w:i w:val="0"/>
              </w:rPr>
              <w:t xml:space="preserve">Figure </w:t>
            </w:r>
            <w:r w:rsidRPr="003C6E56">
              <w:rPr>
                <w:rFonts w:ascii="Arial" w:hAnsi="Arial" w:cs="Arial"/>
                <w:i w:val="0"/>
              </w:rPr>
              <w:fldChar w:fldCharType="begin"/>
            </w:r>
            <w:r w:rsidRPr="003C6E56">
              <w:rPr>
                <w:rFonts w:ascii="Arial" w:hAnsi="Arial" w:cs="Arial"/>
                <w:i w:val="0"/>
              </w:rPr>
              <w:instrText xml:space="preserve"> SEQ Figure \* ARABIC </w:instrText>
            </w:r>
            <w:r w:rsidRPr="003C6E56">
              <w:rPr>
                <w:rFonts w:ascii="Arial" w:hAnsi="Arial" w:cs="Arial"/>
                <w:i w:val="0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</w:rPr>
              <w:t>2</w:t>
            </w:r>
            <w:r w:rsidRPr="003C6E56">
              <w:rPr>
                <w:rFonts w:ascii="Arial" w:hAnsi="Arial" w:cs="Arial"/>
                <w:i w:val="0"/>
              </w:rPr>
              <w:fldChar w:fldCharType="end"/>
            </w:r>
            <w:r w:rsidRPr="003C6E56">
              <w:rPr>
                <w:rFonts w:ascii="Arial" w:hAnsi="Arial" w:cs="Arial"/>
                <w:i w:val="0"/>
              </w:rPr>
              <w:t> :</w:t>
            </w:r>
            <w:r>
              <w:rPr>
                <w:rFonts w:ascii="Arial" w:hAnsi="Arial" w:cs="Arial"/>
                <w:i w:val="0"/>
              </w:rPr>
              <w:t xml:space="preserve"> </w:t>
            </w:r>
            <w:r w:rsidRPr="004E5A16">
              <w:rPr>
                <w:rFonts w:ascii="Arial" w:hAnsi="Arial" w:cs="Arial"/>
              </w:rPr>
              <w:t xml:space="preserve">Comparaison des temps de demi-vie entre la photolyse et </w:t>
            </w:r>
            <w:r w:rsidR="004B4210">
              <w:rPr>
                <w:rFonts w:ascii="Arial" w:hAnsi="Arial" w:cs="Arial"/>
              </w:rPr>
              <w:t xml:space="preserve">la </w:t>
            </w:r>
            <w:r w:rsidRPr="004E5A16">
              <w:rPr>
                <w:rFonts w:ascii="Arial" w:hAnsi="Arial" w:cs="Arial"/>
              </w:rPr>
              <w:t>photocatalyse UVC de la bentazone, l’isoproturon et l’atrazine</w:t>
            </w:r>
          </w:p>
        </w:tc>
      </w:tr>
      <w:tr w:rsidR="00112E7D" w14:paraId="71C32A17" w14:textId="77777777" w:rsidTr="00DB6234">
        <w:tblPrEx>
          <w:tblCellMar>
            <w:left w:w="70" w:type="dxa"/>
            <w:right w:w="70" w:type="dxa"/>
          </w:tblCellMar>
        </w:tblPrEx>
        <w:trPr>
          <w:trHeight w:val="3742"/>
        </w:trPr>
        <w:tc>
          <w:tcPr>
            <w:tcW w:w="4356" w:type="dxa"/>
          </w:tcPr>
          <w:p w14:paraId="69D3C8B0" w14:textId="77777777" w:rsidR="00112E7D" w:rsidRDefault="00112E7D" w:rsidP="00DB6234">
            <w:pPr>
              <w:keepNext/>
              <w:ind w:firstLine="0"/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7E76D36" wp14:editId="245562BF">
                  <wp:extent cx="2610000" cy="1872000"/>
                  <wp:effectExtent l="0" t="0" r="0" b="13970"/>
                  <wp:docPr id="5" name="Graphique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7CC6E6DE" w14:textId="77777777" w:rsidR="00112E7D" w:rsidRDefault="00112E7D" w:rsidP="00DB6234">
            <w:pPr>
              <w:keepNext/>
              <w:ind w:firstLine="0"/>
              <w:jc w:val="center"/>
              <w:rPr>
                <w:rFonts w:ascii="Arial" w:hAnsi="Arial" w:cs="Arial"/>
              </w:rPr>
            </w:pPr>
            <w:r w:rsidRPr="00DB6234">
              <w:rPr>
                <w:rFonts w:ascii="Arial" w:hAnsi="Arial" w:cs="Arial"/>
                <w:sz w:val="22"/>
              </w:rPr>
              <w:t xml:space="preserve">Figure </w:t>
            </w:r>
            <w:r w:rsidRPr="00DB6234">
              <w:rPr>
                <w:rFonts w:ascii="Arial" w:hAnsi="Arial" w:cs="Arial"/>
                <w:sz w:val="22"/>
              </w:rPr>
              <w:fldChar w:fldCharType="begin"/>
            </w:r>
            <w:r w:rsidRPr="00DB6234">
              <w:rPr>
                <w:rFonts w:ascii="Arial" w:hAnsi="Arial" w:cs="Arial"/>
                <w:sz w:val="22"/>
              </w:rPr>
              <w:instrText xml:space="preserve"> SEQ Figure \* ARABIC </w:instrText>
            </w:r>
            <w:r w:rsidRPr="00DB6234">
              <w:rPr>
                <w:rFonts w:ascii="Arial" w:hAnsi="Arial" w:cs="Arial"/>
                <w:sz w:val="22"/>
              </w:rPr>
              <w:fldChar w:fldCharType="separate"/>
            </w:r>
            <w:r w:rsidRPr="00DB6234">
              <w:rPr>
                <w:rFonts w:ascii="Arial" w:hAnsi="Arial" w:cs="Arial"/>
                <w:noProof/>
                <w:sz w:val="22"/>
              </w:rPr>
              <w:t>3</w:t>
            </w:r>
            <w:r w:rsidRPr="00DB6234">
              <w:rPr>
                <w:rFonts w:ascii="Arial" w:hAnsi="Arial" w:cs="Arial"/>
                <w:sz w:val="22"/>
              </w:rPr>
              <w:fldChar w:fldCharType="end"/>
            </w:r>
            <w:r w:rsidRPr="00DB6234">
              <w:rPr>
                <w:rFonts w:ascii="Arial" w:hAnsi="Arial" w:cs="Arial"/>
                <w:sz w:val="22"/>
              </w:rPr>
              <w:t xml:space="preserve"> : </w:t>
            </w:r>
            <w:r w:rsidRPr="00DB6234">
              <w:rPr>
                <w:rFonts w:ascii="Arial" w:hAnsi="Arial" w:cs="Arial"/>
                <w:i/>
                <w:sz w:val="22"/>
              </w:rPr>
              <w:t>Comparaison des temps de demi-vie de l’atrazine entre les différents photocatalyseurs</w:t>
            </w:r>
          </w:p>
        </w:tc>
        <w:tc>
          <w:tcPr>
            <w:tcW w:w="4326" w:type="dxa"/>
          </w:tcPr>
          <w:p w14:paraId="7593D82B" w14:textId="77777777" w:rsidR="00112E7D" w:rsidRDefault="00112E7D" w:rsidP="00DB6234">
            <w:pPr>
              <w:keepNext/>
              <w:ind w:firstLine="0"/>
              <w:jc w:val="center"/>
            </w:pPr>
            <w:r w:rsidRPr="004E5A16">
              <w:rPr>
                <w:noProof/>
                <w:lang w:val="fr-BE" w:eastAsia="fr-BE"/>
              </w:rPr>
              <w:drawing>
                <wp:inline distT="0" distB="0" distL="0" distR="0" wp14:anchorId="7ABA00B7" wp14:editId="4CBA69AF">
                  <wp:extent cx="1872000" cy="1072702"/>
                  <wp:effectExtent l="18732" t="19368" r="13653" b="13652"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10" t="17357" r="21736" b="28578"/>
                          <a:stretch/>
                        </pic:blipFill>
                        <pic:spPr>
                          <a:xfrm rot="5400000">
                            <a:off x="0" y="0"/>
                            <a:ext cx="1872000" cy="10727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8DDD6" w14:textId="77777777" w:rsidR="00112E7D" w:rsidRPr="004E5A16" w:rsidRDefault="00112E7D" w:rsidP="00DB6234">
            <w:pPr>
              <w:pStyle w:val="Lgende"/>
              <w:spacing w:after="0"/>
              <w:rPr>
                <w:rFonts w:ascii="Arial" w:hAnsi="Arial" w:cs="Arial"/>
                <w:i w:val="0"/>
                <w:noProof/>
                <w:lang w:val="fr-BE" w:eastAsia="fr-BE"/>
              </w:rPr>
            </w:pPr>
            <w:r w:rsidRPr="004E5A16">
              <w:rPr>
                <w:rFonts w:ascii="Arial" w:hAnsi="Arial" w:cs="Arial"/>
                <w:i w:val="0"/>
              </w:rPr>
              <w:t xml:space="preserve">Figure </w:t>
            </w:r>
            <w:r w:rsidRPr="004E5A16">
              <w:rPr>
                <w:rFonts w:ascii="Arial" w:hAnsi="Arial" w:cs="Arial"/>
                <w:i w:val="0"/>
              </w:rPr>
              <w:fldChar w:fldCharType="begin"/>
            </w:r>
            <w:r w:rsidRPr="004E5A16">
              <w:rPr>
                <w:rFonts w:ascii="Arial" w:hAnsi="Arial" w:cs="Arial"/>
                <w:i w:val="0"/>
              </w:rPr>
              <w:instrText xml:space="preserve"> SEQ Figure \* ARABIC </w:instrText>
            </w:r>
            <w:r w:rsidRPr="004E5A16">
              <w:rPr>
                <w:rFonts w:ascii="Arial" w:hAnsi="Arial" w:cs="Arial"/>
                <w:i w:val="0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</w:rPr>
              <w:t>4</w:t>
            </w:r>
            <w:r w:rsidRPr="004E5A16">
              <w:rPr>
                <w:rFonts w:ascii="Arial" w:hAnsi="Arial" w:cs="Arial"/>
                <w:i w:val="0"/>
              </w:rPr>
              <w:fldChar w:fldCharType="end"/>
            </w:r>
            <w:r>
              <w:rPr>
                <w:rFonts w:ascii="Arial" w:hAnsi="Arial" w:cs="Arial"/>
                <w:i w:val="0"/>
              </w:rPr>
              <w:t xml:space="preserve"> : </w:t>
            </w:r>
            <w:r w:rsidRPr="009234F0">
              <w:rPr>
                <w:rFonts w:ascii="Arial" w:hAnsi="Arial" w:cs="Arial"/>
              </w:rPr>
              <w:t>Dispositif de laboratoire de photolyse et de photocatalyse UVC</w:t>
            </w:r>
          </w:p>
        </w:tc>
      </w:tr>
    </w:tbl>
    <w:p w14:paraId="67329BE8" w14:textId="77777777" w:rsidR="00B074FD" w:rsidRPr="006C0E77" w:rsidRDefault="00B074FD" w:rsidP="00112E7D">
      <w:pPr>
        <w:pStyle w:val="Sous-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Figures</w:t>
      </w:r>
    </w:p>
    <w:p w14:paraId="1B93EE52" w14:textId="77777777" w:rsidR="00373A63" w:rsidRPr="00F1307B" w:rsidRDefault="00373A63">
      <w:pPr>
        <w:ind w:firstLine="0"/>
      </w:pPr>
    </w:p>
    <w:sectPr w:rsidR="00373A63" w:rsidRPr="00F1307B">
      <w:headerReference w:type="default" r:id="rId14"/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2B03" w14:textId="77777777" w:rsidR="00E50D6C" w:rsidRDefault="00E50D6C">
      <w:r>
        <w:separator/>
      </w:r>
    </w:p>
  </w:endnote>
  <w:endnote w:type="continuationSeparator" w:id="0">
    <w:p w14:paraId="12C0C57C" w14:textId="77777777" w:rsidR="00E50D6C" w:rsidRDefault="00E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8B404" w14:textId="77777777" w:rsidR="00E50D6C" w:rsidRDefault="00E50D6C">
      <w:r>
        <w:separator/>
      </w:r>
    </w:p>
  </w:footnote>
  <w:footnote w:type="continuationSeparator" w:id="0">
    <w:p w14:paraId="527863CC" w14:textId="77777777" w:rsidR="00E50D6C" w:rsidRDefault="00E5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CFF" w14:textId="77777777" w:rsidR="00A41484" w:rsidRPr="000131FE" w:rsidRDefault="00A41484" w:rsidP="000131FE">
    <w:pPr>
      <w:pStyle w:val="En-tte"/>
      <w:ind w:firstLine="0"/>
      <w:rPr>
        <w:rFonts w:ascii="Arial" w:hAnsi="Arial" w:cs="Arial"/>
        <w:sz w:val="13"/>
        <w:szCs w:val="13"/>
      </w:rPr>
    </w:pPr>
    <w:r>
      <w:rPr>
        <w:rFonts w:ascii="Arial" w:hAnsi="Arial" w:cs="Arial"/>
        <w:noProof/>
        <w:sz w:val="13"/>
        <w:szCs w:val="13"/>
        <w:lang w:val="fr-BE" w:eastAsia="fr-BE"/>
      </w:rPr>
      <w:drawing>
        <wp:inline distT="0" distB="0" distL="0" distR="0" wp14:anchorId="0C7DA2EE" wp14:editId="4AE02D99">
          <wp:extent cx="1708072" cy="51223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GEPR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45" cy="55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3"/>
        <w:szCs w:val="13"/>
      </w:rPr>
      <w:t xml:space="preserve">          </w:t>
    </w:r>
    <w:r>
      <w:rPr>
        <w:rFonts w:ascii="Arial" w:hAnsi="Arial" w:cs="Arial"/>
        <w:noProof/>
        <w:sz w:val="13"/>
        <w:szCs w:val="13"/>
        <w:lang w:val="fr-BE" w:eastAsia="fr-BE"/>
      </w:rPr>
      <w:drawing>
        <wp:inline distT="0" distB="0" distL="0" distR="0" wp14:anchorId="154215B6" wp14:editId="23479367">
          <wp:extent cx="669044" cy="542464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UGé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4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3"/>
        <w:szCs w:val="13"/>
      </w:rPr>
      <w:tab/>
    </w:r>
    <w:r w:rsidRPr="000131FE">
      <w:rPr>
        <w:rFonts w:ascii="Arial" w:hAnsi="Arial" w:cs="Arial"/>
        <w:sz w:val="13"/>
        <w:szCs w:val="13"/>
      </w:rPr>
      <w:tab/>
      <w:t>Journée Jeunes Chercheurs GEPROC – U</w:t>
    </w:r>
    <w:r>
      <w:rPr>
        <w:rFonts w:ascii="Arial" w:hAnsi="Arial" w:cs="Arial"/>
        <w:sz w:val="13"/>
        <w:szCs w:val="13"/>
      </w:rPr>
      <w:t>G</w:t>
    </w:r>
    <w:r w:rsidRPr="000131FE">
      <w:rPr>
        <w:rFonts w:ascii="Arial" w:hAnsi="Arial" w:cs="Arial"/>
        <w:sz w:val="13"/>
        <w:szCs w:val="13"/>
      </w:rPr>
      <w:t>éPE</w:t>
    </w:r>
  </w:p>
  <w:p w14:paraId="390E2C22" w14:textId="77777777" w:rsidR="00A41484" w:rsidRDefault="00A41484" w:rsidP="000131FE">
    <w:pPr>
      <w:pStyle w:val="En-tte"/>
      <w:jc w:val="right"/>
      <w:rPr>
        <w:rFonts w:ascii="Arial" w:hAnsi="Arial" w:cs="Arial"/>
        <w:sz w:val="13"/>
        <w:szCs w:val="13"/>
      </w:rPr>
    </w:pPr>
    <w:r w:rsidRPr="000131FE">
      <w:rPr>
        <w:rFonts w:ascii="Arial" w:hAnsi="Arial" w:cs="Arial"/>
        <w:sz w:val="13"/>
        <w:szCs w:val="13"/>
      </w:rPr>
      <w:tab/>
      <w:t>6 Octobre 2016, Université Catholique de Louvain</w:t>
    </w:r>
  </w:p>
  <w:p w14:paraId="6FBFD3D0" w14:textId="77777777" w:rsidR="00A41484" w:rsidRPr="000131FE" w:rsidRDefault="00A41484" w:rsidP="000131FE">
    <w:pPr>
      <w:pStyle w:val="En-tte"/>
      <w:jc w:val="right"/>
      <w:rPr>
        <w:rFonts w:ascii="Arial" w:hAnsi="Arial" w:cs="Arial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3F4"/>
    <w:multiLevelType w:val="singleLevel"/>
    <w:tmpl w:val="05D8A5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634DAE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7F0EFC"/>
    <w:multiLevelType w:val="multilevel"/>
    <w:tmpl w:val="CE8A09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Titre2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re3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465D9D"/>
    <w:multiLevelType w:val="multilevel"/>
    <w:tmpl w:val="1AEA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8E31A1"/>
    <w:multiLevelType w:val="hybridMultilevel"/>
    <w:tmpl w:val="BCA6AD16"/>
    <w:lvl w:ilvl="0" w:tplc="95402910">
      <w:start w:val="1"/>
      <w:numFmt w:val="decimal"/>
      <w:pStyle w:val="Reference"/>
      <w:lvlText w:val="[%1]"/>
      <w:lvlJc w:val="left"/>
      <w:pPr>
        <w:tabs>
          <w:tab w:val="num" w:pos="454"/>
        </w:tabs>
        <w:ind w:left="454" w:hanging="454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0E8"/>
    <w:multiLevelType w:val="multilevel"/>
    <w:tmpl w:val="7A662ABE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10288"/>
    <w:multiLevelType w:val="singleLevel"/>
    <w:tmpl w:val="77A6AEE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337F69"/>
    <w:multiLevelType w:val="hybridMultilevel"/>
    <w:tmpl w:val="220472F0"/>
    <w:lvl w:ilvl="0" w:tplc="977E696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928"/>
    <w:multiLevelType w:val="multilevel"/>
    <w:tmpl w:val="5E788C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70C6C0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0" w15:restartNumberingAfterBreak="0">
    <w:nsid w:val="63F0285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E"/>
    <w:rsid w:val="000131FE"/>
    <w:rsid w:val="000178D5"/>
    <w:rsid w:val="00051E6A"/>
    <w:rsid w:val="000B6F61"/>
    <w:rsid w:val="000F35B4"/>
    <w:rsid w:val="000F3B74"/>
    <w:rsid w:val="00107186"/>
    <w:rsid w:val="00112E7D"/>
    <w:rsid w:val="0015073E"/>
    <w:rsid w:val="00157A13"/>
    <w:rsid w:val="001824D0"/>
    <w:rsid w:val="0019248B"/>
    <w:rsid w:val="00274CAE"/>
    <w:rsid w:val="002B2A5F"/>
    <w:rsid w:val="002B5B4A"/>
    <w:rsid w:val="00310981"/>
    <w:rsid w:val="00314F38"/>
    <w:rsid w:val="003204DB"/>
    <w:rsid w:val="003601CA"/>
    <w:rsid w:val="00361FA5"/>
    <w:rsid w:val="00373A63"/>
    <w:rsid w:val="003A0713"/>
    <w:rsid w:val="003B41E3"/>
    <w:rsid w:val="003B7A03"/>
    <w:rsid w:val="003C29C7"/>
    <w:rsid w:val="003C6E56"/>
    <w:rsid w:val="003E0B18"/>
    <w:rsid w:val="003F7FDB"/>
    <w:rsid w:val="004175EB"/>
    <w:rsid w:val="00461521"/>
    <w:rsid w:val="00471768"/>
    <w:rsid w:val="004B4210"/>
    <w:rsid w:val="004E2548"/>
    <w:rsid w:val="004E5A16"/>
    <w:rsid w:val="00546A91"/>
    <w:rsid w:val="0058604C"/>
    <w:rsid w:val="005866A3"/>
    <w:rsid w:val="00595520"/>
    <w:rsid w:val="005D303E"/>
    <w:rsid w:val="005D78D6"/>
    <w:rsid w:val="006473EE"/>
    <w:rsid w:val="00681F2E"/>
    <w:rsid w:val="006858EE"/>
    <w:rsid w:val="006C0E77"/>
    <w:rsid w:val="006C62FB"/>
    <w:rsid w:val="006F7633"/>
    <w:rsid w:val="00730A2A"/>
    <w:rsid w:val="0073233C"/>
    <w:rsid w:val="0074339F"/>
    <w:rsid w:val="0076099D"/>
    <w:rsid w:val="007941EA"/>
    <w:rsid w:val="007C1FA4"/>
    <w:rsid w:val="007C20EB"/>
    <w:rsid w:val="00895ABE"/>
    <w:rsid w:val="008A434A"/>
    <w:rsid w:val="008D47D0"/>
    <w:rsid w:val="008D491B"/>
    <w:rsid w:val="008F370B"/>
    <w:rsid w:val="00916953"/>
    <w:rsid w:val="009234F0"/>
    <w:rsid w:val="0095756A"/>
    <w:rsid w:val="0098103A"/>
    <w:rsid w:val="009B30CC"/>
    <w:rsid w:val="00A30A69"/>
    <w:rsid w:val="00A30B21"/>
    <w:rsid w:val="00A41484"/>
    <w:rsid w:val="00A72D13"/>
    <w:rsid w:val="00AC0601"/>
    <w:rsid w:val="00B074FD"/>
    <w:rsid w:val="00BB3522"/>
    <w:rsid w:val="00C27F17"/>
    <w:rsid w:val="00C9369C"/>
    <w:rsid w:val="00CE6427"/>
    <w:rsid w:val="00D0617D"/>
    <w:rsid w:val="00D108AE"/>
    <w:rsid w:val="00D30A14"/>
    <w:rsid w:val="00D63378"/>
    <w:rsid w:val="00D81027"/>
    <w:rsid w:val="00DA4D52"/>
    <w:rsid w:val="00DB6234"/>
    <w:rsid w:val="00E11D6F"/>
    <w:rsid w:val="00E406FA"/>
    <w:rsid w:val="00E50D6C"/>
    <w:rsid w:val="00E9440D"/>
    <w:rsid w:val="00EF1723"/>
    <w:rsid w:val="00F1307B"/>
    <w:rsid w:val="00FB2FA7"/>
    <w:rsid w:val="00FD27F2"/>
    <w:rsid w:val="00FE74C7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0E446"/>
  <w15:docId w15:val="{17EA43B4-CC6B-47B1-9028-A09E99A4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49"/>
    <w:pPr>
      <w:autoSpaceDE w:val="0"/>
      <w:autoSpaceDN w:val="0"/>
      <w:spacing w:before="120"/>
      <w:ind w:firstLine="284"/>
      <w:jc w:val="both"/>
    </w:pPr>
    <w:rPr>
      <w:rFonts w:eastAsia="SimSun"/>
      <w:sz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F03996"/>
    <w:pPr>
      <w:keepNext/>
      <w:numPr>
        <w:numId w:val="5"/>
      </w:numPr>
      <w:tabs>
        <w:tab w:val="clear" w:pos="360"/>
      </w:tabs>
      <w:spacing w:before="240" w:after="120"/>
      <w:ind w:left="454" w:hanging="45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F03996"/>
    <w:pPr>
      <w:keepNext/>
      <w:numPr>
        <w:ilvl w:val="1"/>
        <w:numId w:val="5"/>
      </w:numPr>
      <w:tabs>
        <w:tab w:val="clear" w:pos="420"/>
      </w:tabs>
      <w:spacing w:before="240" w:after="120"/>
      <w:ind w:left="567" w:hanging="567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qFormat/>
    <w:rsid w:val="00F03996"/>
    <w:pPr>
      <w:keepNext/>
      <w:numPr>
        <w:ilvl w:val="2"/>
        <w:numId w:val="5"/>
      </w:numPr>
      <w:tabs>
        <w:tab w:val="clear" w:pos="720"/>
      </w:tabs>
      <w:spacing w:before="240" w:after="120"/>
      <w:ind w:left="680" w:hanging="680"/>
      <w:outlineLvl w:val="2"/>
    </w:pPr>
    <w:rPr>
      <w:b/>
      <w:bCs/>
      <w:i/>
      <w:iCs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567"/>
        <w:tab w:val="left" w:pos="4536"/>
        <w:tab w:val="left" w:pos="5103"/>
      </w:tabs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pPr>
      <w:keepNext/>
      <w:widowControl w:val="0"/>
      <w:outlineLvl w:val="5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rsid w:val="001212CF"/>
    <w:pPr>
      <w:spacing w:before="0"/>
      <w:ind w:firstLine="0"/>
      <w:jc w:val="center"/>
    </w:pPr>
    <w:rPr>
      <w:szCs w:val="22"/>
    </w:rPr>
  </w:style>
  <w:style w:type="paragraph" w:styleId="Titre">
    <w:name w:val="Title"/>
    <w:basedOn w:val="Normal"/>
    <w:qFormat/>
    <w:rsid w:val="00F03996"/>
    <w:pPr>
      <w:spacing w:before="0" w:after="480"/>
      <w:ind w:firstLine="0"/>
    </w:pPr>
    <w:rPr>
      <w:b/>
      <w:bCs/>
      <w:sz w:val="40"/>
      <w:szCs w:val="40"/>
    </w:rPr>
  </w:style>
  <w:style w:type="paragraph" w:styleId="Sous-titre">
    <w:name w:val="Subtitle"/>
    <w:basedOn w:val="Normal"/>
    <w:qFormat/>
    <w:rsid w:val="00841BF2"/>
    <w:pPr>
      <w:spacing w:before="240" w:after="120"/>
      <w:ind w:firstLine="0"/>
    </w:pPr>
    <w:rPr>
      <w:b/>
      <w:bCs/>
      <w:iCs/>
      <w:sz w:val="22"/>
      <w:szCs w:val="28"/>
    </w:rPr>
  </w:style>
  <w:style w:type="paragraph" w:customStyle="1" w:styleId="Resume">
    <w:name w:val="Resume"/>
    <w:basedOn w:val="Normal"/>
    <w:rsid w:val="0013409E"/>
    <w:pPr>
      <w:spacing w:before="240"/>
      <w:ind w:firstLine="0"/>
    </w:pPr>
    <w:rPr>
      <w:bCs/>
      <w:sz w:val="22"/>
      <w:szCs w:val="22"/>
    </w:rPr>
  </w:style>
  <w:style w:type="paragraph" w:customStyle="1" w:styleId="Nomenclature">
    <w:name w:val="Nomenclature"/>
    <w:basedOn w:val="Normal"/>
    <w:rsid w:val="00040D60"/>
    <w:pPr>
      <w:tabs>
        <w:tab w:val="left" w:pos="567"/>
      </w:tabs>
      <w:spacing w:before="0"/>
      <w:ind w:firstLine="0"/>
    </w:pPr>
    <w:rPr>
      <w:iCs/>
      <w:sz w:val="22"/>
      <w:szCs w:val="22"/>
    </w:r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styleId="Pieddepage">
    <w:name w:val="footer"/>
    <w:basedOn w:val="Normal"/>
    <w:rsid w:val="00C77F24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Normal"/>
    <w:rsid w:val="00F03996"/>
    <w:pPr>
      <w:spacing w:before="0" w:after="240"/>
      <w:ind w:firstLine="0"/>
    </w:pPr>
    <w:rPr>
      <w:b/>
      <w:bCs/>
      <w:szCs w:val="24"/>
    </w:rPr>
  </w:style>
  <w:style w:type="paragraph" w:customStyle="1" w:styleId="Adresse">
    <w:name w:val="Adresse"/>
    <w:basedOn w:val="Normal"/>
    <w:rsid w:val="00F03996"/>
    <w:pPr>
      <w:spacing w:before="0"/>
      <w:ind w:firstLine="0"/>
    </w:pPr>
    <w:rPr>
      <w:sz w:val="22"/>
      <w:szCs w:val="22"/>
    </w:rPr>
  </w:style>
  <w:style w:type="character" w:customStyle="1" w:styleId="Titre1Car">
    <w:name w:val="Titre 1 Car"/>
    <w:link w:val="Titre1"/>
    <w:rsid w:val="00F03996"/>
    <w:rPr>
      <w:rFonts w:eastAsia="SimSun"/>
      <w:b/>
      <w:bCs/>
      <w:sz w:val="28"/>
      <w:szCs w:val="28"/>
      <w:lang w:val="fr-FR" w:eastAsia="zh-CN" w:bidi="ar-SA"/>
    </w:rPr>
  </w:style>
  <w:style w:type="paragraph" w:customStyle="1" w:styleId="Equation">
    <w:name w:val="Equation"/>
    <w:basedOn w:val="Normal"/>
    <w:rsid w:val="004C3149"/>
    <w:pPr>
      <w:tabs>
        <w:tab w:val="center" w:pos="4536"/>
        <w:tab w:val="right" w:pos="9072"/>
      </w:tabs>
      <w:ind w:firstLine="0"/>
    </w:pPr>
  </w:style>
  <w:style w:type="paragraph" w:styleId="Lgende">
    <w:name w:val="caption"/>
    <w:basedOn w:val="Normal"/>
    <w:next w:val="Normal"/>
    <w:qFormat/>
    <w:rsid w:val="004C3149"/>
    <w:pPr>
      <w:spacing w:after="120"/>
      <w:jc w:val="center"/>
    </w:pPr>
    <w:rPr>
      <w:bCs/>
      <w:i/>
      <w:sz w:val="22"/>
    </w:rPr>
  </w:style>
  <w:style w:type="paragraph" w:customStyle="1" w:styleId="Figure">
    <w:name w:val="Figure"/>
    <w:basedOn w:val="Normal"/>
    <w:rsid w:val="004C3149"/>
    <w:pPr>
      <w:spacing w:before="240"/>
      <w:ind w:firstLine="0"/>
      <w:jc w:val="center"/>
    </w:pPr>
    <w:rPr>
      <w:szCs w:val="22"/>
    </w:rPr>
  </w:style>
  <w:style w:type="paragraph" w:customStyle="1" w:styleId="Reference">
    <w:name w:val="Reference"/>
    <w:basedOn w:val="Normal"/>
    <w:rsid w:val="0099016C"/>
    <w:pPr>
      <w:numPr>
        <w:numId w:val="9"/>
      </w:numPr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103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8103A"/>
    <w:rPr>
      <w:rFonts w:eastAsia="SimSun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9C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9C7"/>
    <w:rPr>
      <w:rFonts w:ascii="Tahoma" w:eastAsia="SimSu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F1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C06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060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0601"/>
    <w:rPr>
      <w:rFonts w:eastAsia="SimSu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06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0601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Julien.GERVASI@umons.ac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mons.ac.be\shared\FPMs\Chimie%20et%20Biochimie%20Appliqu&#233;es\WaterPOP\Caract&#233;risation%20d&#233;p&#244;ts\Photocatalyse\Cin&#233;tique%20Globa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SHARED1.umons.ac.be\Shared\FPMs\Chimie%20et%20Biochimie%20Appliqu&#233;es\WaterPOP\Caract&#233;risation%20d&#233;p&#244;ts\Photocatalyse\Photocatalyse%20bentazone\Photocatalyse%20UVC%20bentazone%20-%20spray%201%20face%20de%20100cm&#17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64683794087783"/>
          <c:y val="5.2433613900581121E-2"/>
          <c:w val="0.70816981818878466"/>
          <c:h val="0.79290650339151103"/>
        </c:manualLayout>
      </c:layout>
      <c:barChart>
        <c:barDir val="col"/>
        <c:grouping val="clustered"/>
        <c:varyColors val="0"/>
        <c:ser>
          <c:idx val="0"/>
          <c:order val="0"/>
          <c:tx>
            <c:v>Photolyse</c:v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'Cinétique globale'!$AC$17:$AC$25</c:f>
              <c:strCache>
                <c:ptCount val="8"/>
                <c:pt idx="1">
                  <c:v>Bentazone</c:v>
                </c:pt>
                <c:pt idx="4">
                  <c:v>Isoproturon</c:v>
                </c:pt>
                <c:pt idx="7">
                  <c:v>Atrazine</c:v>
                </c:pt>
              </c:strCache>
            </c:strRef>
          </c:cat>
          <c:val>
            <c:numRef>
              <c:f>'Cinétique globale'!$AD$17:$AD$25</c:f>
              <c:numCache>
                <c:formatCode>General</c:formatCode>
                <c:ptCount val="9"/>
                <c:pt idx="1">
                  <c:v>212.15008773298575</c:v>
                </c:pt>
                <c:pt idx="4">
                  <c:v>118.66067286410868</c:v>
                </c:pt>
                <c:pt idx="7">
                  <c:v>15.011239422749719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18-46A0-9B9A-EBA38EDEE78A}"/>
            </c:ext>
          </c:extLst>
        </c:ser>
        <c:ser>
          <c:idx val="1"/>
          <c:order val="1"/>
          <c:tx>
            <c:v>REF</c:v>
          </c:tx>
          <c:spPr>
            <a:solidFill>
              <a:srgbClr val="77933C"/>
            </a:solidFill>
            <a:ln>
              <a:solidFill>
                <a:srgbClr val="77933C"/>
              </a:solidFill>
            </a:ln>
            <a:effectLst/>
          </c:spPr>
          <c:invertIfNegative val="0"/>
          <c:cat>
            <c:strRef>
              <c:f>'Cinétique globale'!$AC$17:$AC$25</c:f>
              <c:strCache>
                <c:ptCount val="8"/>
                <c:pt idx="1">
                  <c:v>Bentazone</c:v>
                </c:pt>
                <c:pt idx="4">
                  <c:v>Isoproturon</c:v>
                </c:pt>
                <c:pt idx="7">
                  <c:v>Atrazine</c:v>
                </c:pt>
              </c:strCache>
            </c:strRef>
          </c:cat>
          <c:val>
            <c:numRef>
              <c:f>'Cinétique globale'!$AE$17:$AE$25</c:f>
              <c:numCache>
                <c:formatCode>General</c:formatCode>
                <c:ptCount val="9"/>
                <c:pt idx="1">
                  <c:v>32.581000000000003</c:v>
                </c:pt>
                <c:pt idx="4">
                  <c:v>26.194670620915463</c:v>
                </c:pt>
                <c:pt idx="7">
                  <c:v>9.930466604414999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18-46A0-9B9A-EBA38EDEE78A}"/>
            </c:ext>
          </c:extLst>
        </c:ser>
        <c:ser>
          <c:idx val="2"/>
          <c:order val="2"/>
          <c:tx>
            <c:v>CA1</c:v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cat>
            <c:strRef>
              <c:f>'Cinétique globale'!$AC$17:$AC$25</c:f>
              <c:strCache>
                <c:ptCount val="8"/>
                <c:pt idx="1">
                  <c:v>Bentazone</c:v>
                </c:pt>
                <c:pt idx="4">
                  <c:v>Isoproturon</c:v>
                </c:pt>
                <c:pt idx="7">
                  <c:v>Atrazine</c:v>
                </c:pt>
              </c:strCache>
            </c:strRef>
          </c:cat>
          <c:val>
            <c:numRef>
              <c:f>'Cinétique globale'!$AF$17:$AF$25</c:f>
              <c:numCache>
                <c:formatCode>General</c:formatCode>
                <c:ptCount val="9"/>
                <c:pt idx="1">
                  <c:v>44.42433333333333</c:v>
                </c:pt>
                <c:pt idx="4">
                  <c:v>19.306563994060383</c:v>
                </c:pt>
                <c:pt idx="7">
                  <c:v>13.446911890742584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18-46A0-9B9A-EBA38EDEE78A}"/>
            </c:ext>
          </c:extLst>
        </c:ser>
        <c:ser>
          <c:idx val="3"/>
          <c:order val="3"/>
          <c:tx>
            <c:v>CA2</c:v>
          </c:tx>
          <c:spPr>
            <a:solidFill>
              <a:srgbClr val="C0504D"/>
            </a:solidFill>
            <a:ln>
              <a:solidFill>
                <a:srgbClr val="C0504D"/>
              </a:solidFill>
            </a:ln>
            <a:effectLst/>
          </c:spPr>
          <c:invertIfNegative val="0"/>
          <c:cat>
            <c:strRef>
              <c:f>'Cinétique globale'!$AC$17:$AC$25</c:f>
              <c:strCache>
                <c:ptCount val="8"/>
                <c:pt idx="1">
                  <c:v>Bentazone</c:v>
                </c:pt>
                <c:pt idx="4">
                  <c:v>Isoproturon</c:v>
                </c:pt>
                <c:pt idx="7">
                  <c:v>Atrazine</c:v>
                </c:pt>
              </c:strCache>
            </c:strRef>
          </c:cat>
          <c:val>
            <c:numRef>
              <c:f>'Cinétique globale'!$AG$17:$AG$25</c:f>
              <c:numCache>
                <c:formatCode>General</c:formatCode>
                <c:ptCount val="9"/>
                <c:pt idx="1">
                  <c:v>41.044499999999999</c:v>
                </c:pt>
                <c:pt idx="4">
                  <c:v>20.720609912791854</c:v>
                </c:pt>
                <c:pt idx="7">
                  <c:v>10.052375516209706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18-46A0-9B9A-EBA38EDEE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overlap val="-42"/>
        <c:axId val="1873540656"/>
        <c:axId val="1873541200"/>
      </c:barChart>
      <c:catAx>
        <c:axId val="187354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1873541200"/>
        <c:crosses val="autoZero"/>
        <c:auto val="1"/>
        <c:lblAlgn val="ctr"/>
        <c:lblOffset val="100"/>
        <c:noMultiLvlLbl val="0"/>
      </c:catAx>
      <c:valAx>
        <c:axId val="187354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fr-BE"/>
                  <a:t>T</a:t>
                </a:r>
                <a:r>
                  <a:rPr lang="fr-BE" baseline="-25000"/>
                  <a:t>1/2</a:t>
                </a:r>
                <a:r>
                  <a:rPr lang="fr-BE"/>
                  <a:t>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187354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9304557733203065"/>
          <c:y val="1.9783687608812574E-2"/>
          <c:w val="0.29344713297699099"/>
          <c:h val="0.268535290324060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62246872425617"/>
          <c:y val="2.3255277777777777E-2"/>
          <c:w val="0.76839626798475003"/>
          <c:h val="0.863227507680048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9A-4838-909C-7447266BB52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7B-4187-8D62-CCCD947831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A7B-4187-8D62-CCCD94783188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9A-4838-909C-7447266BB52E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9A-4838-909C-7447266BB52E}"/>
              </c:ext>
            </c:extLst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39A-4838-909C-7447266BB52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39A-4838-909C-7447266BB52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39A-4838-909C-7447266BB52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39A-4838-909C-7447266BB52E}"/>
              </c:ext>
            </c:extLst>
          </c:dPt>
          <c:dPt>
            <c:idx val="9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39A-4838-909C-7447266BB52E}"/>
              </c:ext>
            </c:extLst>
          </c:dPt>
          <c:dPt>
            <c:idx val="10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39A-4838-909C-7447266BB52E}"/>
              </c:ext>
            </c:extLst>
          </c:dPt>
          <c:dPt>
            <c:idx val="11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39A-4838-909C-7447266BB52E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39A-4838-909C-7447266BB52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39A-4838-909C-7447266BB52E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39A-4838-909C-7447266BB52E}"/>
              </c:ext>
            </c:extLst>
          </c:dPt>
          <c:dPt>
            <c:idx val="15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39A-4838-909C-7447266BB52E}"/>
              </c:ext>
            </c:extLst>
          </c:dPt>
          <c:dPt>
            <c:idx val="16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39A-4838-909C-7447266BB52E}"/>
              </c:ext>
            </c:extLst>
          </c:dPt>
          <c:cat>
            <c:strRef>
              <c:f>'[Photocatalyse UVC bentazone - spray 1 face de 100cm².xlsx]Global'!$H$9:$H$20</c:f>
              <c:strCache>
                <c:ptCount val="11"/>
                <c:pt idx="1">
                  <c:v>REF</c:v>
                </c:pt>
                <c:pt idx="4">
                  <c:v>CA1</c:v>
                </c:pt>
                <c:pt idx="7">
                  <c:v>CA2</c:v>
                </c:pt>
                <c:pt idx="10">
                  <c:v>Photolyse</c:v>
                </c:pt>
              </c:strCache>
            </c:strRef>
          </c:cat>
          <c:val>
            <c:numRef>
              <c:f>'[Photocatalyse UVC bentazone - spray 1 face de 100cm².xlsx]Global'!$K$9:$K$20</c:f>
              <c:numCache>
                <c:formatCode>_-* #,##0.000\ _€_-;\-* #,##0.000\ _€_-;_-* "-"??\ _€_-;_-@_-</c:formatCode>
                <c:ptCount val="12"/>
                <c:pt idx="0">
                  <c:v>33.978999999999999</c:v>
                </c:pt>
                <c:pt idx="1">
                  <c:v>39.85</c:v>
                </c:pt>
                <c:pt idx="2">
                  <c:v>25.312000000000001</c:v>
                </c:pt>
                <c:pt idx="3">
                  <c:v>64.010999999999996</c:v>
                </c:pt>
                <c:pt idx="4">
                  <c:v>39.585999999999999</c:v>
                </c:pt>
                <c:pt idx="5">
                  <c:v>29.675999999999998</c:v>
                </c:pt>
                <c:pt idx="6">
                  <c:v>53.451000000000001</c:v>
                </c:pt>
                <c:pt idx="7">
                  <c:v>26.652000000000001</c:v>
                </c:pt>
                <c:pt idx="8">
                  <c:v>28.638000000000002</c:v>
                </c:pt>
                <c:pt idx="9" formatCode="0.000">
                  <c:v>207.52909597603153</c:v>
                </c:pt>
                <c:pt idx="10" formatCode="0.000">
                  <c:v>200.91222624925899</c:v>
                </c:pt>
                <c:pt idx="11" formatCode="0.000">
                  <c:v>228.0089409736662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A7B-4187-8D62-CCCD94783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73542288"/>
        <c:axId val="1873553712"/>
      </c:barChart>
      <c:lineChart>
        <c:grouping val="standard"/>
        <c:varyColors val="0"/>
        <c:ser>
          <c:idx val="1"/>
          <c:order val="1"/>
          <c:tx>
            <c:v>Moyenne</c:v>
          </c:tx>
          <c:spPr>
            <a:ln w="12700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dPt>
            <c:idx val="1"/>
            <c:marker>
              <c:symbol val="none"/>
            </c:marker>
            <c:bubble3D val="0"/>
            <c:spPr>
              <a:ln w="12700" cap="rnd">
                <a:solidFill>
                  <a:schemeClr val="accent3">
                    <a:lumMod val="75000"/>
                  </a:schemeClr>
                </a:solidFill>
                <a:prstDash val="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39A-4838-909C-7447266BB52E}"/>
              </c:ext>
            </c:extLst>
          </c:dPt>
          <c:dPt>
            <c:idx val="2"/>
            <c:marker>
              <c:symbol val="none"/>
            </c:marker>
            <c:bubble3D val="0"/>
            <c:spPr>
              <a:ln w="12700" cap="rnd">
                <a:solidFill>
                  <a:schemeClr val="accent3">
                    <a:lumMod val="75000"/>
                  </a:schemeClr>
                </a:solidFill>
                <a:prstDash val="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39A-4838-909C-7447266BB52E}"/>
              </c:ext>
            </c:extLst>
          </c:dPt>
          <c:dPt>
            <c:idx val="3"/>
            <c:marker>
              <c:symbol val="none"/>
            </c:marker>
            <c:bubble3D val="0"/>
            <c:spPr>
              <a:ln w="12700" cap="rnd">
                <a:noFill/>
                <a:prstDash val="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E39A-4838-909C-7447266BB52E}"/>
              </c:ext>
            </c:extLst>
          </c:dPt>
          <c:dPt>
            <c:idx val="4"/>
            <c:marker>
              <c:symbol val="none"/>
            </c:marker>
            <c:bubble3D val="0"/>
            <c:spPr>
              <a:ln w="12700" cap="rnd">
                <a:solidFill>
                  <a:srgbClr val="0070C0"/>
                </a:solidFill>
                <a:prstDash val="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E39A-4838-909C-7447266BB52E}"/>
              </c:ext>
            </c:extLst>
          </c:dPt>
          <c:dPt>
            <c:idx val="5"/>
            <c:marker>
              <c:symbol val="none"/>
            </c:marker>
            <c:bubble3D val="0"/>
            <c:spPr>
              <a:ln w="12700" cap="rnd">
                <a:solidFill>
                  <a:srgbClr val="0070C0"/>
                </a:solidFill>
                <a:prstDash val="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E39A-4838-909C-7447266BB52E}"/>
              </c:ext>
            </c:extLst>
          </c:dPt>
          <c:dPt>
            <c:idx val="6"/>
            <c:marker>
              <c:symbol val="none"/>
            </c:marker>
            <c:bubble3D val="0"/>
            <c:spPr>
              <a:ln w="12700" cap="rnd">
                <a:noFill/>
                <a:prstDash val="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E39A-4838-909C-7447266BB52E}"/>
              </c:ext>
            </c:extLst>
          </c:dPt>
          <c:dPt>
            <c:idx val="9"/>
            <c:marker>
              <c:symbol val="none"/>
            </c:marker>
            <c:bubble3D val="0"/>
            <c:spPr>
              <a:ln w="12700" cap="rnd">
                <a:noFill/>
                <a:prstDash val="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E39A-4838-909C-7447266BB52E}"/>
              </c:ext>
            </c:extLst>
          </c:dPt>
          <c:dPt>
            <c:idx val="10"/>
            <c:marker>
              <c:symbol val="none"/>
            </c:marker>
            <c:bubble3D val="0"/>
            <c:spPr>
              <a:ln w="12700" cap="rnd">
                <a:solidFill>
                  <a:schemeClr val="tx1"/>
                </a:solidFill>
                <a:prstDash val="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E39A-4838-909C-7447266BB52E}"/>
              </c:ext>
            </c:extLst>
          </c:dPt>
          <c:dPt>
            <c:idx val="11"/>
            <c:marker>
              <c:symbol val="none"/>
            </c:marker>
            <c:bubble3D val="0"/>
            <c:spPr>
              <a:ln w="12700" cap="rnd">
                <a:solidFill>
                  <a:schemeClr val="tx1"/>
                </a:solidFill>
                <a:prstDash val="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E39A-4838-909C-7447266BB52E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4-E39A-4838-909C-7447266BB52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797478782305496"/>
                  <c:y val="-0.277733101271795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accent3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Moy: </a:t>
                    </a:r>
                    <a:fld id="{DC0F3339-FE19-4242-B97F-6D86FFA8E7EC}" type="VALUE">
                      <a:rPr lang="en-US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pPr>
                        <a:defRPr>
                          <a:solidFill>
                            <a:schemeClr val="accent3">
                              <a:lumMod val="75000"/>
                            </a:schemeClr>
                          </a:solidFill>
                        </a:defRPr>
                      </a:pPr>
                      <a:t>[VALEUR]</a:t>
                    </a:fld>
                    <a:endParaRPr lang="en-US">
                      <a:solidFill>
                        <a:schemeClr val="accent3">
                          <a:lumMod val="75000"/>
                        </a:schemeClr>
                      </a:solidFill>
                    </a:endParaRPr>
                  </a:p>
                </c:rich>
              </c:tx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accent3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E39A-4838-909C-7447266BB52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E39A-4838-909C-7447266BB52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E39A-4838-909C-7447266BB52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739582734639927"/>
                  <c:y val="-0.2980655713641653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rgbClr val="0070C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0070C0"/>
                        </a:solidFill>
                      </a:rPr>
                      <a:t>Moy: </a:t>
                    </a:r>
                    <a:fld id="{DB6E49C8-4923-4256-929E-AAC3087E4E27}" type="VALUE">
                      <a:rPr lang="en-US">
                        <a:solidFill>
                          <a:srgbClr val="0070C0"/>
                        </a:solidFill>
                      </a:rPr>
                      <a:pPr>
                        <a:defRPr>
                          <a:solidFill>
                            <a:srgbClr val="0070C0"/>
                          </a:solidFill>
                        </a:defRPr>
                      </a:pPr>
                      <a:t>[VALEUR]</a:t>
                    </a:fld>
                    <a:endParaRPr lang="en-US">
                      <a:solidFill>
                        <a:srgbClr val="0070C0"/>
                      </a:solidFill>
                    </a:endParaRPr>
                  </a:p>
                </c:rich>
              </c:tx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E39A-4838-909C-7447266BB52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E39A-4838-909C-7447266BB52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E39A-4838-909C-7447266BB52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0796597505603771"/>
                  <c:y val="-0.23996718286379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C00000"/>
                        </a:solidFill>
                      </a:rPr>
                      <a:t>Moy: </a:t>
                    </a:r>
                    <a:fld id="{08C351E6-08E4-441C-B92E-AB9132E01FE1}" type="VALUE">
                      <a:rPr lang="en-US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rgbClr val="C00000"/>
                          </a:solidFill>
                        </a:defRPr>
                      </a:pPr>
                      <a:t>[VALEUR]</a:t>
                    </a:fld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4-4B13-48A2-A31F-2579DE5ACB2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6-E39A-4838-909C-7447266BB52E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E39A-4838-909C-7447266BB52E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7.0656934306569524E-2"/>
                  <c:y val="-0.119573901464713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Moy: </a:t>
                    </a:r>
                    <a:fld id="{638A4468-9DB9-438A-925B-304F30B1667F}" type="VALUE">
                      <a:rPr lang="en-US"/>
                      <a:pPr/>
                      <a:t>[VALEUR]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1-E39A-4838-909C-7447266BB52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3-E39A-4838-909C-7447266BB52E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'[Photocatalyse UVC bentazone - spray 1 face de 100cm².xlsx]Global'!$L$9:$L$20</c:f>
              <c:numCache>
                <c:formatCode>General</c:formatCode>
                <c:ptCount val="12"/>
                <c:pt idx="0">
                  <c:v>33.047000000000004</c:v>
                </c:pt>
                <c:pt idx="1">
                  <c:v>33.047000000000004</c:v>
                </c:pt>
                <c:pt idx="2">
                  <c:v>33.047000000000004</c:v>
                </c:pt>
                <c:pt idx="3">
                  <c:v>44.42433333333333</c:v>
                </c:pt>
                <c:pt idx="4">
                  <c:v>44.42433333333333</c:v>
                </c:pt>
                <c:pt idx="5">
                  <c:v>44.42433333333333</c:v>
                </c:pt>
                <c:pt idx="6">
                  <c:v>36.247000000000007</c:v>
                </c:pt>
                <c:pt idx="7">
                  <c:v>36.247000000000007</c:v>
                </c:pt>
                <c:pt idx="8">
                  <c:v>36.247000000000007</c:v>
                </c:pt>
                <c:pt idx="9">
                  <c:v>212.15008773298555</c:v>
                </c:pt>
                <c:pt idx="10" formatCode="0.000">
                  <c:v>212.15008773298555</c:v>
                </c:pt>
                <c:pt idx="11">
                  <c:v>212.15008773298555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37-E39A-4838-909C-7447266BB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542288"/>
        <c:axId val="1873553712"/>
      </c:lineChart>
      <c:catAx>
        <c:axId val="187354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1873553712"/>
        <c:crosses val="autoZero"/>
        <c:auto val="1"/>
        <c:lblAlgn val="ctr"/>
        <c:lblOffset val="100"/>
        <c:noMultiLvlLbl val="0"/>
      </c:catAx>
      <c:valAx>
        <c:axId val="18735537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BE" sz="1000"/>
                  <a:t>T</a:t>
                </a:r>
                <a:r>
                  <a:rPr lang="fr-BE" sz="1000" baseline="-25000"/>
                  <a:t>1/2</a:t>
                </a:r>
                <a:r>
                  <a:rPr lang="fr-BE" sz="1000"/>
                  <a:t>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187354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prstDash val="solid"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7FA1-C940-4D48-83E8-F13AB63A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 de règlement des inscriptions au congrès</vt:lpstr>
    </vt:vector>
  </TitlesOfParts>
  <Company>INSA</Company>
  <LinksUpToDate>false</LinksUpToDate>
  <CharactersWithSpaces>5001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mailto:boris@quelquepart.fr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 de règlement des inscriptions au congrès</dc:title>
  <dc:creator>alal</dc:creator>
  <cp:lastModifiedBy>Julien Gervasi</cp:lastModifiedBy>
  <cp:revision>2</cp:revision>
  <cp:lastPrinted>2016-08-31T06:52:00Z</cp:lastPrinted>
  <dcterms:created xsi:type="dcterms:W3CDTF">2016-09-01T09:48:00Z</dcterms:created>
  <dcterms:modified xsi:type="dcterms:W3CDTF">2016-09-01T09:48:00Z</dcterms:modified>
</cp:coreProperties>
</file>