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7CC4C" w14:textId="1E50DE05" w:rsidR="00E23026" w:rsidRPr="00851DC9" w:rsidRDefault="00E23026" w:rsidP="00E23026">
      <w:pPr>
        <w:jc w:val="center"/>
        <w:rPr>
          <w:sz w:val="28"/>
          <w:szCs w:val="28"/>
        </w:rPr>
      </w:pPr>
      <w:r w:rsidRPr="00851DC9">
        <w:rPr>
          <w:b/>
          <w:bCs/>
          <w:color w:val="1A1A1A"/>
          <w:sz w:val="28"/>
          <w:szCs w:val="28"/>
          <w:shd w:val="clear" w:color="auto" w:fill="FFFFFF"/>
        </w:rPr>
        <w:t>Le protocole d’évaluation de la parole</w:t>
      </w:r>
      <w:r w:rsidRPr="00851DC9">
        <w:rPr>
          <w:color w:val="1A1A1A"/>
          <w:sz w:val="28"/>
          <w:szCs w:val="28"/>
          <w:shd w:val="clear" w:color="auto" w:fill="FFFFFF"/>
        </w:rPr>
        <w:t> </w:t>
      </w:r>
      <w:r w:rsidRPr="00851DC9">
        <w:rPr>
          <w:rStyle w:val="lev"/>
          <w:color w:val="1A1A1A"/>
          <w:sz w:val="28"/>
          <w:szCs w:val="28"/>
          <w:shd w:val="clear" w:color="auto" w:fill="FFFFFF"/>
        </w:rPr>
        <w:t>MonPaGe-2.0.s (screening)</w:t>
      </w:r>
    </w:p>
    <w:p w14:paraId="5DDC4F0C" w14:textId="3433D18B" w:rsidR="00E23026" w:rsidRDefault="00E23026" w:rsidP="00D5311A">
      <w:pPr>
        <w:jc w:val="both"/>
        <w:rPr>
          <w:rFonts w:eastAsiaTheme="minorEastAsia"/>
          <w:color w:val="141414"/>
        </w:rPr>
      </w:pPr>
    </w:p>
    <w:p w14:paraId="215738BD" w14:textId="77777777" w:rsidR="00851DC9" w:rsidRPr="00851DC9" w:rsidRDefault="00851DC9" w:rsidP="00851DC9">
      <w:pPr>
        <w:spacing w:before="100" w:beforeAutospacing="1" w:after="100" w:afterAutospacing="1"/>
        <w:ind w:left="360"/>
        <w:jc w:val="center"/>
        <w:rPr>
          <w:color w:val="1A1A1A"/>
        </w:rPr>
      </w:pPr>
      <w:r w:rsidRPr="007F0F23">
        <w:rPr>
          <w:color w:val="1A1A1A"/>
        </w:rPr>
        <w:t>Véronique Delvaux</w:t>
      </w:r>
      <w:r w:rsidRPr="00851DC9">
        <w:rPr>
          <w:color w:val="1A1A1A"/>
          <w:vertAlign w:val="superscript"/>
        </w:rPr>
        <w:t>1</w:t>
      </w:r>
      <w:r w:rsidRPr="007F0F23">
        <w:rPr>
          <w:color w:val="1A1A1A"/>
        </w:rPr>
        <w:t>, Marina Laganaro</w:t>
      </w:r>
      <w:r w:rsidRPr="00851DC9">
        <w:rPr>
          <w:color w:val="1A1A1A"/>
          <w:vertAlign w:val="superscript"/>
        </w:rPr>
        <w:t>2</w:t>
      </w:r>
      <w:r w:rsidRPr="007F0F23">
        <w:rPr>
          <w:color w:val="1A1A1A"/>
        </w:rPr>
        <w:t xml:space="preserve">, </w:t>
      </w:r>
      <w:r w:rsidRPr="00851DC9">
        <w:rPr>
          <w:color w:val="1A1A1A"/>
        </w:rPr>
        <w:t>Nathalie Lévêque</w:t>
      </w:r>
      <w:r w:rsidRPr="00851DC9">
        <w:rPr>
          <w:color w:val="1A1A1A"/>
          <w:vertAlign w:val="superscript"/>
        </w:rPr>
        <w:t>3</w:t>
      </w:r>
      <w:r w:rsidRPr="00851DC9">
        <w:rPr>
          <w:color w:val="1A1A1A"/>
        </w:rPr>
        <w:t xml:space="preserve">, </w:t>
      </w:r>
      <w:r w:rsidRPr="007F0F23">
        <w:rPr>
          <w:color w:val="1A1A1A"/>
        </w:rPr>
        <w:t>Michaela Pernon</w:t>
      </w:r>
      <w:r w:rsidRPr="00851DC9">
        <w:rPr>
          <w:color w:val="1A1A1A"/>
          <w:vertAlign w:val="superscript"/>
        </w:rPr>
        <w:t>4</w:t>
      </w:r>
      <w:r w:rsidRPr="00851DC9">
        <w:rPr>
          <w:color w:val="1A1A1A"/>
        </w:rPr>
        <w:t xml:space="preserve">, </w:t>
      </w:r>
      <w:r w:rsidRPr="007F0F23">
        <w:rPr>
          <w:color w:val="1A1A1A"/>
        </w:rPr>
        <w:t>Roland Trouville</w:t>
      </w:r>
      <w:r w:rsidRPr="00851DC9">
        <w:rPr>
          <w:color w:val="1A1A1A"/>
          <w:vertAlign w:val="superscript"/>
        </w:rPr>
        <w:t>5</w:t>
      </w:r>
      <w:r w:rsidRPr="007F0F23">
        <w:rPr>
          <w:color w:val="1A1A1A"/>
        </w:rPr>
        <w:t>,</w:t>
      </w:r>
      <w:r w:rsidRPr="00851DC9">
        <w:rPr>
          <w:color w:val="1A1A1A"/>
        </w:rPr>
        <w:t xml:space="preserve"> </w:t>
      </w:r>
      <w:r w:rsidRPr="007F0F23">
        <w:rPr>
          <w:color w:val="1A1A1A"/>
        </w:rPr>
        <w:t>Cécile Fougeron</w:t>
      </w:r>
      <w:r w:rsidRPr="00851DC9">
        <w:rPr>
          <w:color w:val="1A1A1A"/>
          <w:vertAlign w:val="superscript"/>
        </w:rPr>
        <w:t>6</w:t>
      </w:r>
      <w:r w:rsidRPr="007F0F23">
        <w:rPr>
          <w:color w:val="1A1A1A"/>
        </w:rPr>
        <w:t>,</w:t>
      </w:r>
    </w:p>
    <w:p w14:paraId="2A286901" w14:textId="77777777" w:rsidR="00851DC9" w:rsidRPr="007F0F23" w:rsidRDefault="00851DC9" w:rsidP="00851DC9">
      <w:pPr>
        <w:spacing w:before="60"/>
        <w:ind w:left="357"/>
        <w:rPr>
          <w:color w:val="1A1A1A"/>
          <w:sz w:val="22"/>
          <w:szCs w:val="22"/>
        </w:rPr>
      </w:pPr>
      <w:r w:rsidRPr="00851DC9">
        <w:rPr>
          <w:color w:val="1A1A1A"/>
          <w:sz w:val="22"/>
          <w:szCs w:val="22"/>
          <w:vertAlign w:val="superscript"/>
        </w:rPr>
        <w:t>1</w:t>
      </w:r>
      <w:r w:rsidRPr="00851DC9">
        <w:rPr>
          <w:color w:val="1A1A1A"/>
          <w:sz w:val="22"/>
          <w:szCs w:val="22"/>
        </w:rPr>
        <w:t xml:space="preserve"> </w:t>
      </w:r>
      <w:r w:rsidRPr="007F0F23">
        <w:rPr>
          <w:color w:val="1A1A1A"/>
          <w:sz w:val="22"/>
          <w:szCs w:val="22"/>
        </w:rPr>
        <w:t>FNRS</w:t>
      </w:r>
      <w:r w:rsidRPr="00851DC9">
        <w:rPr>
          <w:color w:val="1A1A1A"/>
          <w:sz w:val="22"/>
          <w:szCs w:val="22"/>
        </w:rPr>
        <w:t xml:space="preserve"> &amp;</w:t>
      </w:r>
      <w:r w:rsidRPr="007F0F23">
        <w:rPr>
          <w:color w:val="1A1A1A"/>
          <w:sz w:val="22"/>
          <w:szCs w:val="22"/>
        </w:rPr>
        <w:t xml:space="preserve"> Institut de Recherches en Sciences et Technologies du Langage, Université de Mons, Belgique</w:t>
      </w:r>
    </w:p>
    <w:p w14:paraId="6B5103A2" w14:textId="77777777" w:rsidR="00851DC9" w:rsidRPr="007F0F23" w:rsidRDefault="00851DC9" w:rsidP="00851DC9">
      <w:pPr>
        <w:spacing w:before="60"/>
        <w:ind w:left="357"/>
        <w:rPr>
          <w:color w:val="1A1A1A"/>
          <w:sz w:val="22"/>
          <w:szCs w:val="22"/>
        </w:rPr>
      </w:pPr>
      <w:r w:rsidRPr="00851DC9">
        <w:rPr>
          <w:color w:val="1A1A1A"/>
          <w:sz w:val="22"/>
          <w:szCs w:val="22"/>
          <w:vertAlign w:val="superscript"/>
        </w:rPr>
        <w:t>2</w:t>
      </w:r>
      <w:r w:rsidRPr="00851DC9">
        <w:rPr>
          <w:color w:val="1A1A1A"/>
          <w:sz w:val="22"/>
          <w:szCs w:val="22"/>
        </w:rPr>
        <w:t xml:space="preserve"> </w:t>
      </w:r>
      <w:r w:rsidRPr="007F0F23">
        <w:rPr>
          <w:color w:val="1A1A1A"/>
          <w:sz w:val="22"/>
          <w:szCs w:val="22"/>
        </w:rPr>
        <w:t>Laboratoire de Psycholinguistique, Faculté de Psychologie et des Sciences de l’Education, Université de Genève, Suisse</w:t>
      </w:r>
    </w:p>
    <w:p w14:paraId="1E054781" w14:textId="77777777" w:rsidR="00851DC9" w:rsidRPr="00851DC9" w:rsidRDefault="00851DC9" w:rsidP="00851DC9">
      <w:pPr>
        <w:spacing w:before="60"/>
        <w:ind w:left="357"/>
        <w:rPr>
          <w:sz w:val="22"/>
          <w:szCs w:val="22"/>
        </w:rPr>
      </w:pPr>
      <w:r w:rsidRPr="00851DC9">
        <w:rPr>
          <w:color w:val="1A1A1A"/>
          <w:sz w:val="22"/>
          <w:szCs w:val="22"/>
          <w:vertAlign w:val="superscript"/>
        </w:rPr>
        <w:t>3</w:t>
      </w:r>
      <w:r w:rsidRPr="00851DC9">
        <w:rPr>
          <w:color w:val="1A1A1A"/>
          <w:sz w:val="22"/>
          <w:szCs w:val="22"/>
        </w:rPr>
        <w:t xml:space="preserve"> </w:t>
      </w:r>
      <w:r w:rsidRPr="00851DC9">
        <w:rPr>
          <w:color w:val="1A1A1A"/>
          <w:sz w:val="22"/>
          <w:szCs w:val="22"/>
          <w:shd w:val="clear" w:color="auto" w:fill="FFFFFF"/>
        </w:rPr>
        <w:t>Département de Neurologie , Hôpital La Pitié Salpêtrière, APHP, France</w:t>
      </w:r>
    </w:p>
    <w:p w14:paraId="4B94D7D6" w14:textId="77777777" w:rsidR="00851DC9" w:rsidRPr="00851DC9" w:rsidRDefault="00851DC9" w:rsidP="00851DC9">
      <w:pPr>
        <w:spacing w:before="60"/>
        <w:ind w:left="357"/>
        <w:rPr>
          <w:color w:val="1A1A1A"/>
          <w:sz w:val="22"/>
          <w:szCs w:val="22"/>
        </w:rPr>
      </w:pPr>
      <w:r w:rsidRPr="00851DC9">
        <w:rPr>
          <w:color w:val="1A1A1A"/>
          <w:sz w:val="22"/>
          <w:szCs w:val="22"/>
          <w:vertAlign w:val="superscript"/>
        </w:rPr>
        <w:t>4</w:t>
      </w:r>
      <w:r w:rsidRPr="00851DC9">
        <w:rPr>
          <w:color w:val="1A1A1A"/>
          <w:sz w:val="22"/>
          <w:szCs w:val="22"/>
        </w:rPr>
        <w:t xml:space="preserve"> </w:t>
      </w:r>
      <w:r w:rsidRPr="007F0F23">
        <w:rPr>
          <w:color w:val="1A1A1A"/>
          <w:sz w:val="22"/>
          <w:szCs w:val="22"/>
        </w:rPr>
        <w:t xml:space="preserve">Hôpitaux Universitaires de Genève, Suisse &amp; CRMR Wilson, Assistance Publique Hôpitaux de Paris, </w:t>
      </w:r>
      <w:r w:rsidRPr="00851DC9">
        <w:rPr>
          <w:color w:val="1A1A1A"/>
          <w:sz w:val="22"/>
          <w:szCs w:val="22"/>
        </w:rPr>
        <w:t>France</w:t>
      </w:r>
    </w:p>
    <w:p w14:paraId="2828FA85" w14:textId="77777777" w:rsidR="00851DC9" w:rsidRPr="007F0F23" w:rsidRDefault="00851DC9" w:rsidP="00851DC9">
      <w:pPr>
        <w:spacing w:before="60"/>
        <w:ind w:left="357"/>
        <w:rPr>
          <w:color w:val="1A1A1A"/>
          <w:sz w:val="22"/>
          <w:szCs w:val="22"/>
        </w:rPr>
      </w:pPr>
      <w:r w:rsidRPr="00851DC9">
        <w:rPr>
          <w:color w:val="1A1A1A"/>
          <w:sz w:val="22"/>
          <w:szCs w:val="22"/>
          <w:vertAlign w:val="superscript"/>
        </w:rPr>
        <w:t>5</w:t>
      </w:r>
      <w:r w:rsidRPr="00851DC9">
        <w:rPr>
          <w:color w:val="1A1A1A"/>
          <w:sz w:val="22"/>
          <w:szCs w:val="22"/>
        </w:rPr>
        <w:t xml:space="preserve"> </w:t>
      </w:r>
      <w:r w:rsidRPr="007F0F23">
        <w:rPr>
          <w:color w:val="1A1A1A"/>
          <w:sz w:val="22"/>
          <w:szCs w:val="22"/>
        </w:rPr>
        <w:t>Laboratoire de Phonétique et Phonologie, UMR7018, CNRS-Université Sorbonne-Nouvelle, France</w:t>
      </w:r>
    </w:p>
    <w:p w14:paraId="471F889F" w14:textId="77777777" w:rsidR="00851DC9" w:rsidRPr="007F0F23" w:rsidRDefault="00851DC9" w:rsidP="00851DC9">
      <w:pPr>
        <w:spacing w:before="60"/>
        <w:ind w:left="357"/>
        <w:rPr>
          <w:color w:val="1A1A1A"/>
          <w:sz w:val="22"/>
          <w:szCs w:val="22"/>
        </w:rPr>
      </w:pPr>
      <w:r w:rsidRPr="00851DC9">
        <w:rPr>
          <w:color w:val="1A1A1A"/>
          <w:sz w:val="22"/>
          <w:szCs w:val="22"/>
          <w:vertAlign w:val="superscript"/>
        </w:rPr>
        <w:t>6</w:t>
      </w:r>
      <w:r w:rsidRPr="00851DC9">
        <w:rPr>
          <w:color w:val="1A1A1A"/>
          <w:sz w:val="22"/>
          <w:szCs w:val="22"/>
        </w:rPr>
        <w:t xml:space="preserve"> </w:t>
      </w:r>
      <w:r w:rsidRPr="007F0F23">
        <w:rPr>
          <w:color w:val="1A1A1A"/>
          <w:sz w:val="22"/>
          <w:szCs w:val="22"/>
        </w:rPr>
        <w:t>CNRS</w:t>
      </w:r>
      <w:r w:rsidRPr="00851DC9">
        <w:rPr>
          <w:color w:val="1A1A1A"/>
          <w:sz w:val="22"/>
          <w:szCs w:val="22"/>
        </w:rPr>
        <w:t xml:space="preserve"> &amp;</w:t>
      </w:r>
      <w:r w:rsidRPr="007F0F23">
        <w:rPr>
          <w:color w:val="1A1A1A"/>
          <w:sz w:val="22"/>
          <w:szCs w:val="22"/>
        </w:rPr>
        <w:t xml:space="preserve"> Laboratoire de Phonétique et Phonologie, UMR7018, CNRS-Université Sorbonne-Nouvelle, France</w:t>
      </w:r>
    </w:p>
    <w:p w14:paraId="42FA8F46" w14:textId="77777777" w:rsidR="00851DC9" w:rsidRDefault="00851DC9" w:rsidP="00D5311A">
      <w:pPr>
        <w:jc w:val="both"/>
        <w:rPr>
          <w:rFonts w:eastAsiaTheme="minorEastAsia"/>
          <w:color w:val="141414"/>
        </w:rPr>
      </w:pPr>
    </w:p>
    <w:p w14:paraId="119F21DA" w14:textId="77777777" w:rsidR="00E23026" w:rsidRDefault="00E23026" w:rsidP="00D5311A">
      <w:pPr>
        <w:jc w:val="both"/>
        <w:rPr>
          <w:rFonts w:eastAsiaTheme="minorEastAsia"/>
          <w:color w:val="141414"/>
        </w:rPr>
      </w:pPr>
    </w:p>
    <w:p w14:paraId="579DF16C" w14:textId="7CEF1015" w:rsidR="00077E15" w:rsidRPr="00D5311A" w:rsidRDefault="00077E15" w:rsidP="00D5311A">
      <w:pPr>
        <w:jc w:val="both"/>
        <w:rPr>
          <w:rFonts w:eastAsiaTheme="minorEastAsia"/>
          <w:color w:val="141414"/>
        </w:rPr>
      </w:pPr>
      <w:r w:rsidRPr="00D5311A">
        <w:rPr>
          <w:rFonts w:eastAsiaTheme="minorEastAsia"/>
          <w:color w:val="141414"/>
        </w:rPr>
        <w:t xml:space="preserve">Les cliniciens francophones disposent à l’heure actuelle de peu d’outils normés et validés pour l'évaluation de la production de parole en français sur la base de critères objectifs, en particulier acoustiques. C’est sur ce constat qu’est né le projet MonPaGe, une collaboration multi-sites et multi-partenaires animée par un groupe de chercheurs et de cliniciens de quatre régions de la francophonie : Belgique, France, Québec et Suisse. Le consortium </w:t>
      </w:r>
      <w:r w:rsidR="00D0667E" w:rsidRPr="00D5311A">
        <w:rPr>
          <w:rFonts w:eastAsiaTheme="minorEastAsia"/>
          <w:color w:val="141414"/>
        </w:rPr>
        <w:t xml:space="preserve">MonPaGe </w:t>
      </w:r>
      <w:r w:rsidRPr="00D5311A">
        <w:rPr>
          <w:rFonts w:eastAsiaTheme="minorEastAsia"/>
          <w:color w:val="141414"/>
        </w:rPr>
        <w:t>a récemment</w:t>
      </w:r>
      <w:r w:rsidR="00D0667E" w:rsidRPr="00D5311A">
        <w:rPr>
          <w:rFonts w:eastAsiaTheme="minorEastAsia"/>
          <w:color w:val="141414"/>
        </w:rPr>
        <w:t xml:space="preserve"> </w:t>
      </w:r>
      <w:r w:rsidR="00324A01">
        <w:rPr>
          <w:rFonts w:eastAsiaTheme="minorEastAsia"/>
          <w:color w:val="141414"/>
        </w:rPr>
        <w:t>diffus</w:t>
      </w:r>
      <w:r w:rsidR="00D0667E" w:rsidRPr="00D5311A">
        <w:rPr>
          <w:rFonts w:eastAsiaTheme="minorEastAsia"/>
          <w:color w:val="141414"/>
        </w:rPr>
        <w:t xml:space="preserve">é un premier outil normé et validé, le protocole MonPaGe-2.0.s (Trouville et al., 2021). Ce protocole a été développé afin de permettre </w:t>
      </w:r>
      <w:r w:rsidR="0018207A" w:rsidRPr="00D5311A">
        <w:rPr>
          <w:rFonts w:eastAsiaTheme="minorEastAsia"/>
          <w:color w:val="141414"/>
        </w:rPr>
        <w:t xml:space="preserve">une </w:t>
      </w:r>
      <w:r w:rsidR="00D0667E" w:rsidRPr="00D5311A">
        <w:rPr>
          <w:rFonts w:eastAsiaTheme="minorEastAsia"/>
          <w:color w:val="141414"/>
        </w:rPr>
        <w:t xml:space="preserve">évaluation </w:t>
      </w:r>
      <w:r w:rsidR="0018207A" w:rsidRPr="00D5311A">
        <w:rPr>
          <w:rFonts w:eastAsiaTheme="minorEastAsia"/>
          <w:color w:val="141414"/>
        </w:rPr>
        <w:t xml:space="preserve">rapide, en mode « screening », </w:t>
      </w:r>
      <w:r w:rsidR="00D0667E" w:rsidRPr="00D5311A">
        <w:rPr>
          <w:rFonts w:eastAsiaTheme="minorEastAsia"/>
          <w:color w:val="141414"/>
        </w:rPr>
        <w:t xml:space="preserve">des troubles moteurs de la parole légers à modérés chez l’adulte francophone. </w:t>
      </w:r>
    </w:p>
    <w:p w14:paraId="1674AED3" w14:textId="1563868F" w:rsidR="0018207A" w:rsidRPr="00D5311A" w:rsidRDefault="0018207A" w:rsidP="00D5311A">
      <w:pPr>
        <w:jc w:val="both"/>
        <w:rPr>
          <w:rFonts w:eastAsiaTheme="minorEastAsia"/>
          <w:color w:val="141414"/>
        </w:rPr>
      </w:pPr>
    </w:p>
    <w:p w14:paraId="0CE6DD19" w14:textId="47FAD7D2" w:rsidR="005D5FA2" w:rsidRDefault="0018207A" w:rsidP="004B5D0E">
      <w:pPr>
        <w:jc w:val="both"/>
      </w:pPr>
      <w:r w:rsidRPr="0018207A">
        <w:t>MonPaGe-2.0.</w:t>
      </w:r>
      <w:r w:rsidRPr="00D5311A">
        <w:t>s</w:t>
      </w:r>
      <w:r w:rsidRPr="0018207A">
        <w:t xml:space="preserve"> est constitué de deux applications sœurs: « MonPaGe_passation » et «</w:t>
      </w:r>
      <w:r w:rsidR="004B5D0E">
        <w:t xml:space="preserve"> </w:t>
      </w:r>
      <w:r w:rsidRPr="0018207A">
        <w:t xml:space="preserve">MonPaGe_cotation ». MonPaGe_passation guide </w:t>
      </w:r>
      <w:r w:rsidRPr="00D5311A">
        <w:t>le clinicien</w:t>
      </w:r>
      <w:r w:rsidRPr="0018207A">
        <w:t xml:space="preserve"> pour la passation du protocole et </w:t>
      </w:r>
      <w:r w:rsidRPr="00D5311A">
        <w:t xml:space="preserve">enregistre les productions </w:t>
      </w:r>
      <w:r w:rsidRPr="0018207A">
        <w:t xml:space="preserve">du patient. </w:t>
      </w:r>
      <w:r w:rsidR="00D5311A" w:rsidRPr="00D5311A">
        <w:t xml:space="preserve">Une passation complète dure entre 20 et 30 minutes, et </w:t>
      </w:r>
      <w:r w:rsidRPr="0018207A">
        <w:t xml:space="preserve">consiste en une succession de plusieurs tâches </w:t>
      </w:r>
      <w:r w:rsidR="00D5311A" w:rsidRPr="00D5311A">
        <w:t xml:space="preserve">de parole </w:t>
      </w:r>
      <w:r w:rsidRPr="0018207A">
        <w:t>réparties en huit modules</w:t>
      </w:r>
      <w:r w:rsidR="00B351C8">
        <w:t xml:space="preserve">. </w:t>
      </w:r>
    </w:p>
    <w:p w14:paraId="28705550" w14:textId="788597D4" w:rsidR="00E23026" w:rsidRDefault="00E23026" w:rsidP="004B5D0E">
      <w:pPr>
        <w:jc w:val="both"/>
      </w:pPr>
    </w:p>
    <w:p w14:paraId="42B0ECDC" w14:textId="36F556AC" w:rsidR="000E4853" w:rsidRDefault="00E23026" w:rsidP="000E4853">
      <w:pPr>
        <w:jc w:val="both"/>
      </w:pPr>
      <w:r>
        <w:t>Le module « intelligibilité »</w:t>
      </w:r>
      <w:r w:rsidR="000E4853">
        <w:t xml:space="preserve"> est administré sous la forme d’une tâche interactive entre un examinateur et un patient, assis face-à-face.</w:t>
      </w:r>
      <w:r w:rsidR="000E4853" w:rsidRPr="000E4853">
        <w:t xml:space="preserve"> </w:t>
      </w:r>
      <w:r w:rsidR="000E4853" w:rsidRPr="00DB3C05">
        <w:t xml:space="preserve">Le patient indique à l’examinateur un mot à écrire </w:t>
      </w:r>
      <w:r w:rsidR="000E4853">
        <w:t>en un lieu précis sur sa grille de réponse</w:t>
      </w:r>
      <w:r w:rsidR="000E4853" w:rsidRPr="00DB3C05">
        <w:t>. L’application sélectionne</w:t>
      </w:r>
      <w:r w:rsidR="000E4853">
        <w:t xml:space="preserve"> successivement</w:t>
      </w:r>
      <w:r w:rsidR="000E4853" w:rsidRPr="00DB3C05">
        <w:t xml:space="preserve"> 15 </w:t>
      </w:r>
      <w:r w:rsidR="00420B6A">
        <w:t xml:space="preserve">mots </w:t>
      </w:r>
      <w:r w:rsidR="000E4853" w:rsidRPr="00DB3C05">
        <w:t xml:space="preserve">de manière aléatoire dans une base de 452 </w:t>
      </w:r>
      <w:r w:rsidR="00420B6A">
        <w:t>stimuli</w:t>
      </w:r>
      <w:r w:rsidR="000E4853" w:rsidRPr="00DB3C05">
        <w:t xml:space="preserve"> (</w:t>
      </w:r>
      <w:r w:rsidR="00E034CB">
        <w:t>issus de paires minimales</w:t>
      </w:r>
      <w:r w:rsidR="000E4853" w:rsidRPr="00DB3C05">
        <w:t xml:space="preserve">). Le score est défini en fonction du nombre de mots </w:t>
      </w:r>
      <w:r w:rsidR="00B351C8">
        <w:t>corrects</w:t>
      </w:r>
      <w:r w:rsidR="000E4853">
        <w:t xml:space="preserve"> placés de manière appropriée </w:t>
      </w:r>
      <w:r w:rsidR="00B351C8">
        <w:t xml:space="preserve">par l’examinateur </w:t>
      </w:r>
      <w:r w:rsidR="000E4853">
        <w:t>sur sa grille en fonction des indications données par le patient</w:t>
      </w:r>
      <w:r w:rsidR="000E4853" w:rsidRPr="00DB3C05">
        <w:t>.</w:t>
      </w:r>
    </w:p>
    <w:p w14:paraId="381EA1F1" w14:textId="187B800D" w:rsidR="00E23026" w:rsidRDefault="00E23026" w:rsidP="000E4853">
      <w:pPr>
        <w:jc w:val="both"/>
      </w:pPr>
    </w:p>
    <w:p w14:paraId="0E2AE682" w14:textId="48839FAD" w:rsidR="00E23026" w:rsidRDefault="00E23026" w:rsidP="000E4853">
      <w:pPr>
        <w:jc w:val="both"/>
      </w:pPr>
      <w:r>
        <w:t xml:space="preserve">Le module </w:t>
      </w:r>
      <w:r w:rsidR="001E7AD5">
        <w:t>« </w:t>
      </w:r>
      <w:r>
        <w:t>pneumo-phonatoire</w:t>
      </w:r>
      <w:r w:rsidR="001E7AD5">
        <w:t> »</w:t>
      </w:r>
      <w:r>
        <w:t xml:space="preserve"> </w:t>
      </w:r>
      <w:r w:rsidRPr="00E23026">
        <w:t>comporte 3 tâches</w:t>
      </w:r>
      <w:r>
        <w:t> : un /a/ tenu (2 secondes à une hauteur et une intensité confortables), une tâche de temps maximum de phonation, une tâche de modulation de l’intensité vocale lors de la production d’un appel « hé ho ! ». Les productions recueillies permettent d’évaluer la qualité de voix</w:t>
      </w:r>
      <w:r w:rsidR="0099607B">
        <w:t xml:space="preserve"> ainsi que</w:t>
      </w:r>
      <w:r>
        <w:t xml:space="preserve"> la dynamique et le contrôle pneumo-phonatoire. </w:t>
      </w:r>
    </w:p>
    <w:p w14:paraId="74D75A1A" w14:textId="77777777" w:rsidR="001E7AD5" w:rsidRDefault="001E7AD5" w:rsidP="000E4853">
      <w:pPr>
        <w:jc w:val="both"/>
      </w:pPr>
    </w:p>
    <w:p w14:paraId="6811DDF6" w14:textId="67C75CAD" w:rsidR="001E7AD5" w:rsidRDefault="001E7AD5" w:rsidP="000E4853">
      <w:pPr>
        <w:jc w:val="both"/>
      </w:pPr>
      <w:r>
        <w:t xml:space="preserve">Le </w:t>
      </w:r>
      <w:r w:rsidRPr="00DB3C05">
        <w:t xml:space="preserve">module « pseudo-mots » </w:t>
      </w:r>
      <w:r>
        <w:t>permet d'</w:t>
      </w:r>
      <w:r w:rsidRPr="00DB3C05">
        <w:t>examine</w:t>
      </w:r>
      <w:r>
        <w:t>r</w:t>
      </w:r>
      <w:r w:rsidRPr="00DB3C05">
        <w:t xml:space="preserve"> l’articulation des consonnes et voyelles du français, placées dans 53 pseudo-mots respectant la phonotactique de la langue. </w:t>
      </w:r>
      <w:r>
        <w:t xml:space="preserve">Différents </w:t>
      </w:r>
      <w:r w:rsidRPr="00DB3C05">
        <w:t xml:space="preserve">facteurs de complexité phonétique et phonologique sont manipulés, tels la structure syllabique, </w:t>
      </w:r>
      <w:r w:rsidRPr="00DB3C05">
        <w:lastRenderedPageBreak/>
        <w:t xml:space="preserve">la longueur syllabique, la position dans le mot, le contexte </w:t>
      </w:r>
      <w:r>
        <w:t>phonétique</w:t>
      </w:r>
      <w:r w:rsidRPr="00DB3C05">
        <w:t xml:space="preserve">, la fréquence syllabique ainsi que l’alternance des mouvements et des syllabes. </w:t>
      </w:r>
    </w:p>
    <w:p w14:paraId="59FDA5E2" w14:textId="64DBE2F9" w:rsidR="005D5FA2" w:rsidRDefault="005D5FA2" w:rsidP="004B5D0E">
      <w:pPr>
        <w:jc w:val="both"/>
      </w:pPr>
    </w:p>
    <w:p w14:paraId="629F6410" w14:textId="7C919599" w:rsidR="001E7AD5" w:rsidRDefault="001E7AD5" w:rsidP="004B5D0E">
      <w:pPr>
        <w:jc w:val="both"/>
      </w:pPr>
      <w:r>
        <w:t xml:space="preserve">Le module « diadococinésies » </w:t>
      </w:r>
      <w:r w:rsidRPr="00DB3C05">
        <w:t>teste l’aptitude à produire des mouvements articulatoires alternants sous contrainte temporelle (test de performance maximale). Des séquences syllabiques de différents niveaux de complexité doivent être répétées le plus rapidement et le plus précisément possible.</w:t>
      </w:r>
    </w:p>
    <w:p w14:paraId="01ADC710" w14:textId="5670498C" w:rsidR="001E7AD5" w:rsidRDefault="001E7AD5" w:rsidP="001E7AD5">
      <w:pPr>
        <w:jc w:val="both"/>
      </w:pPr>
    </w:p>
    <w:p w14:paraId="7495F040" w14:textId="2C83159E" w:rsidR="001E7AD5" w:rsidRDefault="001E7AD5" w:rsidP="001E7AD5">
      <w:pPr>
        <w:jc w:val="both"/>
      </w:pPr>
      <w:r>
        <w:t>Le module « phrases » teste la capacité du patient à utiliser adéquatement la prosodie linguistique dans ses fonctions distinctive et démarcative, via la lecture de phrases qui sont contextualisées afin de susciter leur énonciation avec l’intonation attendue.</w:t>
      </w:r>
      <w:r w:rsidR="00E034CB">
        <w:t xml:space="preserve"> </w:t>
      </w:r>
    </w:p>
    <w:p w14:paraId="786487B2" w14:textId="77777777" w:rsidR="00E034CB" w:rsidRDefault="00E034CB" w:rsidP="00E034CB"/>
    <w:p w14:paraId="2B981E73" w14:textId="5A03759B" w:rsidR="001E7AD5" w:rsidRDefault="00E034CB" w:rsidP="0099607B">
      <w:pPr>
        <w:jc w:val="both"/>
      </w:pPr>
      <w:r>
        <w:t xml:space="preserve">Dans le module « semaine », on demande au patient de réciter en boucle la série automatique des jours de la semaine en continu pendant 30 secondes, en adoptant un rythme confortable. </w:t>
      </w:r>
      <w:r w:rsidR="007C7E95">
        <w:t xml:space="preserve">Enfin, les modules </w:t>
      </w:r>
      <w:r>
        <w:t xml:space="preserve">« texte » (188 mots) </w:t>
      </w:r>
      <w:r w:rsidR="007C7E95">
        <w:t xml:space="preserve">et « description » </w:t>
      </w:r>
      <w:r>
        <w:t>permet</w:t>
      </w:r>
      <w:r w:rsidR="007C7E95">
        <w:t>tent</w:t>
      </w:r>
      <w:r>
        <w:t xml:space="preserve"> le recueil de parole continue</w:t>
      </w:r>
      <w:r w:rsidR="00B351C8">
        <w:t>, respectivement</w:t>
      </w:r>
      <w:r>
        <w:t xml:space="preserve"> lue</w:t>
      </w:r>
      <w:r w:rsidR="00B351C8" w:rsidRPr="00B351C8">
        <w:t xml:space="preserve"> </w:t>
      </w:r>
      <w:r w:rsidR="00B351C8">
        <w:t>et semi-spontanée</w:t>
      </w:r>
      <w:r>
        <w:t>.</w:t>
      </w:r>
      <w:r w:rsidR="00B351C8">
        <w:t xml:space="preserve"> Pour plus de détails sur ces modules, on se référera à Pernon et al. (2020)</w:t>
      </w:r>
      <w:r w:rsidR="00B351C8" w:rsidRPr="0018207A">
        <w:t>.</w:t>
      </w:r>
      <w:r w:rsidR="00B351C8">
        <w:t xml:space="preserve"> </w:t>
      </w:r>
    </w:p>
    <w:p w14:paraId="2CC2591A" w14:textId="77777777" w:rsidR="001E7AD5" w:rsidRDefault="001E7AD5" w:rsidP="004B5D0E">
      <w:pPr>
        <w:jc w:val="both"/>
      </w:pPr>
    </w:p>
    <w:p w14:paraId="510171E1" w14:textId="51C3B3B8" w:rsidR="00D0667E" w:rsidRDefault="00B351C8" w:rsidP="004B5D0E">
      <w:pPr>
        <w:jc w:val="both"/>
      </w:pPr>
      <w:r>
        <w:t xml:space="preserve">Dans un deuxième temps, </w:t>
      </w:r>
      <w:r w:rsidR="007C7E95" w:rsidRPr="0018207A">
        <w:t xml:space="preserve">MonPaGe_cotation pilote la cotation par le clinicien des enregistrements effectués. </w:t>
      </w:r>
      <w:r w:rsidR="007C7E95" w:rsidRPr="00D5311A">
        <w:rPr>
          <w:color w:val="1A1A1A"/>
          <w:shd w:val="clear" w:color="auto" w:fill="FFFFFF"/>
        </w:rPr>
        <w:t xml:space="preserve">Selon les modules, la cotation est </w:t>
      </w:r>
      <w:r w:rsidR="007C7E95">
        <w:rPr>
          <w:color w:val="1A1A1A"/>
          <w:shd w:val="clear" w:color="auto" w:fill="FFFFFF"/>
        </w:rPr>
        <w:t xml:space="preserve">soit </w:t>
      </w:r>
      <w:r w:rsidR="007C7E95" w:rsidRPr="00D5311A">
        <w:rPr>
          <w:color w:val="1A1A1A"/>
          <w:shd w:val="clear" w:color="auto" w:fill="FFFFFF"/>
        </w:rPr>
        <w:t>perceptive</w:t>
      </w:r>
      <w:r w:rsidR="007C7E95">
        <w:rPr>
          <w:color w:val="1A1A1A"/>
          <w:shd w:val="clear" w:color="auto" w:fill="FFFFFF"/>
        </w:rPr>
        <w:t>, soit</w:t>
      </w:r>
      <w:r w:rsidR="007C7E95" w:rsidRPr="00D5311A">
        <w:rPr>
          <w:color w:val="1A1A1A"/>
          <w:shd w:val="clear" w:color="auto" w:fill="FFFFFF"/>
        </w:rPr>
        <w:t xml:space="preserve"> acoustique</w:t>
      </w:r>
      <w:r w:rsidR="007C7E95">
        <w:rPr>
          <w:color w:val="1A1A1A"/>
          <w:shd w:val="clear" w:color="auto" w:fill="FFFFFF"/>
        </w:rPr>
        <w:t xml:space="preserve">. Dans ce dernier cas, elle s’effectue à </w:t>
      </w:r>
      <w:r w:rsidR="007C7E95" w:rsidRPr="004B5D0E">
        <w:rPr>
          <w:color w:val="1A1A1A"/>
          <w:shd w:val="clear" w:color="auto" w:fill="FFFFFF"/>
        </w:rPr>
        <w:t>l’aide d’une procédure semi-automatique guidée sous Praat®</w:t>
      </w:r>
      <w:r w:rsidR="007C7E95">
        <w:rPr>
          <w:color w:val="1A1A1A"/>
          <w:shd w:val="clear" w:color="auto" w:fill="FFFFFF"/>
        </w:rPr>
        <w:t xml:space="preserve"> et </w:t>
      </w:r>
      <w:r w:rsidR="007C7E95" w:rsidRPr="004B5D0E">
        <w:rPr>
          <w:color w:val="1A1A1A"/>
          <w:shd w:val="clear" w:color="auto" w:fill="FFFFFF"/>
        </w:rPr>
        <w:t xml:space="preserve">nécessite un minimum de compétences en phonétique acoustique </w:t>
      </w:r>
      <w:r w:rsidR="007C7E95">
        <w:rPr>
          <w:color w:val="1A1A1A"/>
          <w:shd w:val="clear" w:color="auto" w:fill="FFFFFF"/>
        </w:rPr>
        <w:t xml:space="preserve">(p.ex. </w:t>
      </w:r>
      <w:r w:rsidR="007C7E95" w:rsidRPr="004B5D0E">
        <w:rPr>
          <w:color w:val="1A1A1A"/>
          <w:shd w:val="clear" w:color="auto" w:fill="FFFFFF"/>
        </w:rPr>
        <w:t xml:space="preserve">pouvoir annoter ou sélectionner les parties du signal </w:t>
      </w:r>
      <w:r w:rsidR="007C7E95">
        <w:rPr>
          <w:color w:val="1A1A1A"/>
          <w:shd w:val="clear" w:color="auto" w:fill="FFFFFF"/>
        </w:rPr>
        <w:t xml:space="preserve">de parole </w:t>
      </w:r>
      <w:r w:rsidR="007C7E95" w:rsidRPr="004B5D0E">
        <w:rPr>
          <w:color w:val="1A1A1A"/>
          <w:shd w:val="clear" w:color="auto" w:fill="FFFFFF"/>
        </w:rPr>
        <w:t>à analyser</w:t>
      </w:r>
      <w:r w:rsidR="007C7E95">
        <w:rPr>
          <w:color w:val="1A1A1A"/>
          <w:shd w:val="clear" w:color="auto" w:fill="FFFFFF"/>
        </w:rPr>
        <w:t>)</w:t>
      </w:r>
      <w:r w:rsidR="007C7E95" w:rsidRPr="004B5D0E">
        <w:rPr>
          <w:color w:val="1A1A1A"/>
          <w:shd w:val="clear" w:color="auto" w:fill="FFFFFF"/>
        </w:rPr>
        <w:t>.</w:t>
      </w:r>
      <w:r w:rsidR="007C7E95">
        <w:rPr>
          <w:color w:val="1A1A1A"/>
          <w:shd w:val="clear" w:color="auto" w:fill="FFFFFF"/>
        </w:rPr>
        <w:t xml:space="preserve"> La cotation</w:t>
      </w:r>
      <w:r w:rsidR="007C7E95" w:rsidRPr="00D5311A">
        <w:rPr>
          <w:color w:val="1A1A1A"/>
          <w:shd w:val="clear" w:color="auto" w:fill="FFFFFF"/>
        </w:rPr>
        <w:t xml:space="preserve"> </w:t>
      </w:r>
      <w:r w:rsidR="007C7E95">
        <w:rPr>
          <w:color w:val="1A1A1A"/>
          <w:shd w:val="clear" w:color="auto" w:fill="FFFFFF"/>
        </w:rPr>
        <w:t xml:space="preserve">dure 20 à 30 minutes </w:t>
      </w:r>
      <w:r w:rsidR="007C7E95" w:rsidRPr="00D5311A">
        <w:rPr>
          <w:color w:val="1A1A1A"/>
          <w:shd w:val="clear" w:color="auto" w:fill="FFFFFF"/>
        </w:rPr>
        <w:t>et permet au final</w:t>
      </w:r>
      <w:r w:rsidR="007C7E95">
        <w:t xml:space="preserve"> </w:t>
      </w:r>
      <w:r w:rsidR="007C7E95" w:rsidRPr="0018207A">
        <w:t xml:space="preserve">l’extraction automatique de 24 indicateurs visant à décrire </w:t>
      </w:r>
      <w:r w:rsidR="007C7E95" w:rsidRPr="00D5311A">
        <w:t xml:space="preserve">la parole du patient </w:t>
      </w:r>
      <w:r>
        <w:t>sur différentes dimensions</w:t>
      </w:r>
      <w:r w:rsidR="007C7E95" w:rsidRPr="00D5311A">
        <w:t>.</w:t>
      </w:r>
    </w:p>
    <w:p w14:paraId="47C2D5FE" w14:textId="18983BFB" w:rsidR="0021456C" w:rsidRDefault="0021456C" w:rsidP="00D5311A">
      <w:pPr>
        <w:jc w:val="both"/>
      </w:pPr>
    </w:p>
    <w:p w14:paraId="122B4D76" w14:textId="3314791A" w:rsidR="005D5FA2" w:rsidRDefault="0021456C" w:rsidP="0021456C">
      <w:pPr>
        <w:jc w:val="both"/>
      </w:pPr>
      <w:r w:rsidRPr="0021456C">
        <w:t xml:space="preserve">A l’issue de la cotation, deux rapports sont générés. Le </w:t>
      </w:r>
      <w:r>
        <w:t xml:space="preserve">premier </w:t>
      </w:r>
      <w:r w:rsidR="005D5FA2">
        <w:t>donn</w:t>
      </w:r>
      <w:r w:rsidRPr="0021456C">
        <w:t xml:space="preserve">e les résultats du patient </w:t>
      </w:r>
      <w:r w:rsidR="00F03B5E" w:rsidRPr="0021456C">
        <w:t xml:space="preserve">pour chaque </w:t>
      </w:r>
      <w:r w:rsidR="00F03B5E">
        <w:t>indicateur</w:t>
      </w:r>
      <w:r w:rsidR="005D5FA2">
        <w:t xml:space="preserve"> et situe ces valeurs </w:t>
      </w:r>
      <w:r w:rsidRPr="0021456C">
        <w:t xml:space="preserve">par rapport à une population de référence sur une échelle inter-centile. Les normes utilisées sont issues d’une base de données de 404 locuteurs de quatre régiolectes du français : France (Paris), Belgique (Mons), Suisse (Genève) et Québec (Montréal) </w:t>
      </w:r>
      <w:r>
        <w:t>(</w:t>
      </w:r>
      <w:r w:rsidRPr="0021456C">
        <w:t>Fougeron et al., 2018</w:t>
      </w:r>
      <w:r>
        <w:t>)</w:t>
      </w:r>
      <w:r w:rsidRPr="0021456C">
        <w:t xml:space="preserve">. </w:t>
      </w:r>
    </w:p>
    <w:p w14:paraId="2A2B66BE" w14:textId="77777777" w:rsidR="005D5FA2" w:rsidRDefault="005D5FA2" w:rsidP="0021456C">
      <w:pPr>
        <w:jc w:val="both"/>
      </w:pPr>
    </w:p>
    <w:p w14:paraId="2341C355" w14:textId="33DD5203" w:rsidR="0021456C" w:rsidRDefault="0021456C" w:rsidP="00486BB2">
      <w:pPr>
        <w:jc w:val="both"/>
      </w:pPr>
      <w:r w:rsidRPr="0021456C">
        <w:t xml:space="preserve">Le </w:t>
      </w:r>
      <w:r>
        <w:t>deuxièm</w:t>
      </w:r>
      <w:r w:rsidRPr="0021456C">
        <w:t xml:space="preserve">e rapport présente </w:t>
      </w:r>
      <w:r w:rsidR="005D5FA2">
        <w:t>le</w:t>
      </w:r>
      <w:r w:rsidR="005D5FA2" w:rsidRPr="0021456C">
        <w:t xml:space="preserve"> </w:t>
      </w:r>
      <w:r w:rsidR="005D5FA2">
        <w:t>« </w:t>
      </w:r>
      <w:r w:rsidR="005D5FA2" w:rsidRPr="0021456C">
        <w:t>Score Total de Déviance</w:t>
      </w:r>
      <w:r w:rsidR="005D5FA2">
        <w:t> »</w:t>
      </w:r>
      <w:r w:rsidR="00486BB2">
        <w:t xml:space="preserve"> du patient</w:t>
      </w:r>
      <w:r w:rsidR="005D5FA2">
        <w:t xml:space="preserve">, ainsi que </w:t>
      </w:r>
      <w:r w:rsidRPr="0021456C">
        <w:t xml:space="preserve">les scores </w:t>
      </w:r>
      <w:r w:rsidR="00486BB2">
        <w:t xml:space="preserve">individuels </w:t>
      </w:r>
      <w:r w:rsidRPr="0021456C">
        <w:t xml:space="preserve">de déviance </w:t>
      </w:r>
      <w:r w:rsidR="00486BB2">
        <w:t>qui le composent</w:t>
      </w:r>
      <w:r w:rsidR="005D5FA2">
        <w:t>,</w:t>
      </w:r>
      <w:r w:rsidR="00486BB2">
        <w:t xml:space="preserve"> en référence à la validation du protocole </w:t>
      </w:r>
      <w:r w:rsidR="00486BB2" w:rsidRPr="0021456C">
        <w:t xml:space="preserve">MonPaGe-2.0.s </w:t>
      </w:r>
      <w:r w:rsidR="00486BB2">
        <w:t>(</w:t>
      </w:r>
      <w:r w:rsidR="005D5FA2" w:rsidRPr="0021456C">
        <w:t>Laganaro et al., 202</w:t>
      </w:r>
      <w:r w:rsidR="006A3895">
        <w:t>1</w:t>
      </w:r>
      <w:r w:rsidR="00486BB2">
        <w:t>)</w:t>
      </w:r>
      <w:r w:rsidRPr="0021456C">
        <w:t>.</w:t>
      </w:r>
      <w:r w:rsidR="00486BB2">
        <w:t xml:space="preserve"> </w:t>
      </w:r>
      <w:r w:rsidR="00EA33FD">
        <w:t>La validation a été réalisée</w:t>
      </w:r>
      <w:r w:rsidRPr="0021456C">
        <w:t xml:space="preserve"> sur 80 patients </w:t>
      </w:r>
      <w:r w:rsidR="00EA33FD">
        <w:t>avec</w:t>
      </w:r>
      <w:r w:rsidRPr="0021456C">
        <w:t xml:space="preserve"> dysarthrie</w:t>
      </w:r>
      <w:r w:rsidR="00EA33FD">
        <w:t xml:space="preserve"> (</w:t>
      </w:r>
      <w:r w:rsidR="00EA33FD" w:rsidRPr="0021456C">
        <w:t>différents sous-types</w:t>
      </w:r>
      <w:r w:rsidR="00EA33FD">
        <w:t>)</w:t>
      </w:r>
      <w:r w:rsidR="00EA33FD" w:rsidRPr="0021456C">
        <w:t xml:space="preserve"> </w:t>
      </w:r>
      <w:r w:rsidRPr="0021456C">
        <w:t>ou apraxie de la parole légère à modérée</w:t>
      </w:r>
      <w:r w:rsidR="00EA33FD">
        <w:t>,</w:t>
      </w:r>
      <w:r w:rsidRPr="0021456C">
        <w:t xml:space="preserve"> et 62 locuteurs contrôles différents de ceux de la base utilisée pour la norme. Le cut-off du Score Total de Déviance est une valeur supérieure à 2. </w:t>
      </w:r>
      <w:r w:rsidR="00B351C8">
        <w:t xml:space="preserve">Avec </w:t>
      </w:r>
      <w:r w:rsidRPr="0021456C">
        <w:t>ce cut-off, un trouble moteur de la parole peut être diagnostiqué avec une spécificité de 95% et une sensibilité de 83.8%</w:t>
      </w:r>
      <w:r w:rsidR="00B351C8">
        <w:t>.</w:t>
      </w:r>
      <w:r w:rsidRPr="0021456C">
        <w:t xml:space="preserve"> </w:t>
      </w:r>
      <w:r w:rsidR="00B351C8">
        <w:t>Le</w:t>
      </w:r>
      <w:r w:rsidRPr="0021456C">
        <w:t xml:space="preserve"> Score Total de Déviance présente </w:t>
      </w:r>
      <w:r w:rsidR="00B351C8">
        <w:t xml:space="preserve">par ailleurs </w:t>
      </w:r>
      <w:r w:rsidRPr="0021456C">
        <w:t>une très bonne corrélation avec une évaluation perceptive indépendante réalisée par 6 experts.</w:t>
      </w:r>
    </w:p>
    <w:p w14:paraId="5B747654" w14:textId="1DEC5D0B" w:rsidR="00486BB2" w:rsidRDefault="00486BB2" w:rsidP="00486BB2">
      <w:pPr>
        <w:jc w:val="both"/>
      </w:pPr>
    </w:p>
    <w:p w14:paraId="0FBA3163" w14:textId="1027FA32" w:rsidR="00486BB2" w:rsidRPr="00D5311A" w:rsidRDefault="00486BB2" w:rsidP="00486BB2">
      <w:pPr>
        <w:jc w:val="both"/>
      </w:pPr>
      <w:r>
        <w:rPr>
          <w:rFonts w:eastAsiaTheme="minorEastAsia"/>
          <w:color w:val="141414"/>
        </w:rPr>
        <w:t xml:space="preserve">Le </w:t>
      </w:r>
      <w:r w:rsidRPr="00D5311A">
        <w:rPr>
          <w:rFonts w:eastAsiaTheme="minorEastAsia"/>
          <w:color w:val="141414"/>
        </w:rPr>
        <w:t>protocole MonPaGe-2.0.s</w:t>
      </w:r>
      <w:r>
        <w:rPr>
          <w:rFonts w:eastAsiaTheme="minorEastAsia"/>
          <w:color w:val="141414"/>
        </w:rPr>
        <w:t xml:space="preserve"> est mis gratuitement à disposition de la communauté  (licence Creative Commons): </w:t>
      </w:r>
      <w:r w:rsidRPr="00486BB2">
        <w:rPr>
          <w:rFonts w:eastAsiaTheme="minorEastAsia"/>
          <w:color w:val="141414"/>
        </w:rPr>
        <w:t>https://lpp.in2p3.fr/monpage</w:t>
      </w:r>
      <w:r>
        <w:rPr>
          <w:rFonts w:eastAsiaTheme="minorEastAsia"/>
          <w:color w:val="141414"/>
        </w:rPr>
        <w:t>.</w:t>
      </w:r>
      <w:r w:rsidRPr="00486BB2">
        <w:rPr>
          <w:rFonts w:eastAsiaTheme="minorEastAsia"/>
          <w:color w:val="141414"/>
        </w:rPr>
        <w:t xml:space="preserve"> </w:t>
      </w:r>
      <w:r>
        <w:rPr>
          <w:rFonts w:eastAsiaTheme="minorEastAsia"/>
          <w:color w:val="141414"/>
        </w:rPr>
        <w:t>On trouvera sur le site web toutes les informations nécessaires au téléchargement ainsi qu’un ensemble de ressources dédiées (guides et tutoriels pour l’installation, manuel utilisateur très documenté, documents complémentaires pour la passation, références bibliographiques complètes).</w:t>
      </w:r>
    </w:p>
    <w:p w14:paraId="01EF53DE" w14:textId="77777777" w:rsidR="00851DC9" w:rsidRDefault="00851DC9"/>
    <w:p w14:paraId="1A9B7805" w14:textId="2C013574" w:rsidR="0018207A" w:rsidRDefault="00851DC9">
      <w:r>
        <w:t>844 mots</w:t>
      </w:r>
      <w:r w:rsidR="0018207A">
        <w:br w:type="page"/>
      </w:r>
    </w:p>
    <w:p w14:paraId="66599A24" w14:textId="052FECC8" w:rsidR="00D0667E" w:rsidRPr="00D0667E" w:rsidRDefault="00D0667E" w:rsidP="00D0667E">
      <w:pPr>
        <w:rPr>
          <w:lang w:val="en-US"/>
        </w:rPr>
      </w:pPr>
      <w:r w:rsidRPr="00D0667E">
        <w:lastRenderedPageBreak/>
        <w:t xml:space="preserve">Fougeron, C., Delvaux, V., Ménard, L., &amp; Laganaro, M. (2018). </w:t>
      </w:r>
      <w:r w:rsidRPr="00D0667E">
        <w:rPr>
          <w:lang w:val="en-US"/>
        </w:rPr>
        <w:t>The MonPaGe_HA database for the documentation of spoken French throughout adulthood. Proceedings of LREC 2018, Miyazaki, Japan, pp. 4301-4306.</w:t>
      </w:r>
    </w:p>
    <w:p w14:paraId="44519543" w14:textId="77777777" w:rsidR="00D0667E" w:rsidRPr="00D0667E" w:rsidRDefault="00D0667E" w:rsidP="00D0667E">
      <w:pPr>
        <w:rPr>
          <w:lang w:val="en-US"/>
        </w:rPr>
      </w:pPr>
    </w:p>
    <w:p w14:paraId="167B5350" w14:textId="3E405033" w:rsidR="00D0667E" w:rsidRPr="00D0667E" w:rsidRDefault="00D0667E" w:rsidP="00D0667E">
      <w:r w:rsidRPr="006A3895">
        <w:rPr>
          <w:lang w:val="en-US"/>
        </w:rPr>
        <w:t xml:space="preserve">Laganaro, M., Fougeron, C., Pernon, M., Levêque, N., Borel, S., Fornet, M., Catalano, S., Lopez, U., Trouville, R., Ménard, L., Burkhard, P.R., Assal, F., Delvaux, V. (2021). </w:t>
      </w:r>
      <w:r w:rsidRPr="00D0667E">
        <w:rPr>
          <w:lang w:val="en-US"/>
        </w:rPr>
        <w:t xml:space="preserve">Sensitivity and specificity of an acoustic- and perceptual-based tool for assessing motor speech disorders in French: the MonPaGe-screening protocol. </w:t>
      </w:r>
      <w:r w:rsidRPr="00D0667E">
        <w:t>Clinical Linguistics &amp; Phonetics.  https://doi.org/10.1080/02699206.2020.1865460</w:t>
      </w:r>
    </w:p>
    <w:p w14:paraId="5F68C89E" w14:textId="77777777" w:rsidR="00D0667E" w:rsidRPr="00D0667E" w:rsidRDefault="00D0667E" w:rsidP="00D0667E"/>
    <w:p w14:paraId="5DFA273F" w14:textId="47FFCB7A" w:rsidR="00D0667E" w:rsidRPr="00D0667E" w:rsidRDefault="00D0667E" w:rsidP="00D0667E">
      <w:r w:rsidRPr="00D0667E">
        <w:t>Pernon, M., Levêque, N., Delvaux, V., Assal, F., Borel, S., Fougeron, C., Trouville, R., &amp; Laganaro, M. (2020). MonPaGe, un outil de screening francophone informatise d’evaluation perceptive et acoustique des troubles moteurs de la parole (dysarthries, apraxie de la parole). Rééducation Orthophonique, 281, 171–197.</w:t>
      </w:r>
    </w:p>
    <w:p w14:paraId="3B2DDA44" w14:textId="77777777" w:rsidR="00D0667E" w:rsidRPr="00D0667E" w:rsidRDefault="00D0667E" w:rsidP="00D0667E"/>
    <w:p w14:paraId="63BEC163" w14:textId="691B3F76" w:rsidR="00D0667E" w:rsidRPr="00D0667E" w:rsidRDefault="00D0667E" w:rsidP="00D0667E">
      <w:r w:rsidRPr="00D0667E">
        <w:t>Trouville, R., Delvaux, V., Fougeron, C., Laganaro, M., (2021). Logiciel d’évaluation de la parole (version screening) MonPaGe-2.0.s [Computer program] Retrieved from https://lpp.in2p3.fr/monpage/</w:t>
      </w:r>
    </w:p>
    <w:sectPr w:rsidR="00D0667E" w:rsidRPr="00D0667E" w:rsidSect="00932F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15"/>
    <w:rsid w:val="00077E15"/>
    <w:rsid w:val="000E4853"/>
    <w:rsid w:val="0018207A"/>
    <w:rsid w:val="001E7AD5"/>
    <w:rsid w:val="0021456C"/>
    <w:rsid w:val="002D5FB9"/>
    <w:rsid w:val="00324A01"/>
    <w:rsid w:val="00420B6A"/>
    <w:rsid w:val="00486BB2"/>
    <w:rsid w:val="004B5D0E"/>
    <w:rsid w:val="005D5FA2"/>
    <w:rsid w:val="006A3895"/>
    <w:rsid w:val="007C7E95"/>
    <w:rsid w:val="00851DC9"/>
    <w:rsid w:val="00882CE5"/>
    <w:rsid w:val="00932FB0"/>
    <w:rsid w:val="0099607B"/>
    <w:rsid w:val="00B245B9"/>
    <w:rsid w:val="00B351C8"/>
    <w:rsid w:val="00B95C5F"/>
    <w:rsid w:val="00D0667E"/>
    <w:rsid w:val="00D5311A"/>
    <w:rsid w:val="00E034CB"/>
    <w:rsid w:val="00E23026"/>
    <w:rsid w:val="00EA33FD"/>
    <w:rsid w:val="00F03B5E"/>
    <w:rsid w:val="00F334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8B66EA1"/>
  <w15:chartTrackingRefBased/>
  <w15:docId w15:val="{6AE6D633-7531-A74D-A226-1D08AB28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026"/>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23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611">
      <w:bodyDiv w:val="1"/>
      <w:marLeft w:val="0"/>
      <w:marRight w:val="0"/>
      <w:marTop w:val="0"/>
      <w:marBottom w:val="0"/>
      <w:divBdr>
        <w:top w:val="none" w:sz="0" w:space="0" w:color="auto"/>
        <w:left w:val="none" w:sz="0" w:space="0" w:color="auto"/>
        <w:bottom w:val="none" w:sz="0" w:space="0" w:color="auto"/>
        <w:right w:val="none" w:sz="0" w:space="0" w:color="auto"/>
      </w:divBdr>
    </w:div>
    <w:div w:id="74935953">
      <w:bodyDiv w:val="1"/>
      <w:marLeft w:val="0"/>
      <w:marRight w:val="0"/>
      <w:marTop w:val="0"/>
      <w:marBottom w:val="0"/>
      <w:divBdr>
        <w:top w:val="none" w:sz="0" w:space="0" w:color="auto"/>
        <w:left w:val="none" w:sz="0" w:space="0" w:color="auto"/>
        <w:bottom w:val="none" w:sz="0" w:space="0" w:color="auto"/>
        <w:right w:val="none" w:sz="0" w:space="0" w:color="auto"/>
      </w:divBdr>
    </w:div>
    <w:div w:id="102111382">
      <w:bodyDiv w:val="1"/>
      <w:marLeft w:val="0"/>
      <w:marRight w:val="0"/>
      <w:marTop w:val="0"/>
      <w:marBottom w:val="0"/>
      <w:divBdr>
        <w:top w:val="none" w:sz="0" w:space="0" w:color="auto"/>
        <w:left w:val="none" w:sz="0" w:space="0" w:color="auto"/>
        <w:bottom w:val="none" w:sz="0" w:space="0" w:color="auto"/>
        <w:right w:val="none" w:sz="0" w:space="0" w:color="auto"/>
      </w:divBdr>
    </w:div>
    <w:div w:id="139737213">
      <w:bodyDiv w:val="1"/>
      <w:marLeft w:val="0"/>
      <w:marRight w:val="0"/>
      <w:marTop w:val="0"/>
      <w:marBottom w:val="0"/>
      <w:divBdr>
        <w:top w:val="none" w:sz="0" w:space="0" w:color="auto"/>
        <w:left w:val="none" w:sz="0" w:space="0" w:color="auto"/>
        <w:bottom w:val="none" w:sz="0" w:space="0" w:color="auto"/>
        <w:right w:val="none" w:sz="0" w:space="0" w:color="auto"/>
      </w:divBdr>
    </w:div>
    <w:div w:id="153960831">
      <w:bodyDiv w:val="1"/>
      <w:marLeft w:val="0"/>
      <w:marRight w:val="0"/>
      <w:marTop w:val="0"/>
      <w:marBottom w:val="0"/>
      <w:divBdr>
        <w:top w:val="none" w:sz="0" w:space="0" w:color="auto"/>
        <w:left w:val="none" w:sz="0" w:space="0" w:color="auto"/>
        <w:bottom w:val="none" w:sz="0" w:space="0" w:color="auto"/>
        <w:right w:val="none" w:sz="0" w:space="0" w:color="auto"/>
      </w:divBdr>
    </w:div>
    <w:div w:id="277874183">
      <w:bodyDiv w:val="1"/>
      <w:marLeft w:val="0"/>
      <w:marRight w:val="0"/>
      <w:marTop w:val="0"/>
      <w:marBottom w:val="0"/>
      <w:divBdr>
        <w:top w:val="none" w:sz="0" w:space="0" w:color="auto"/>
        <w:left w:val="none" w:sz="0" w:space="0" w:color="auto"/>
        <w:bottom w:val="none" w:sz="0" w:space="0" w:color="auto"/>
        <w:right w:val="none" w:sz="0" w:space="0" w:color="auto"/>
      </w:divBdr>
    </w:div>
    <w:div w:id="362049628">
      <w:bodyDiv w:val="1"/>
      <w:marLeft w:val="0"/>
      <w:marRight w:val="0"/>
      <w:marTop w:val="0"/>
      <w:marBottom w:val="0"/>
      <w:divBdr>
        <w:top w:val="none" w:sz="0" w:space="0" w:color="auto"/>
        <w:left w:val="none" w:sz="0" w:space="0" w:color="auto"/>
        <w:bottom w:val="none" w:sz="0" w:space="0" w:color="auto"/>
        <w:right w:val="none" w:sz="0" w:space="0" w:color="auto"/>
      </w:divBdr>
    </w:div>
    <w:div w:id="402145555">
      <w:bodyDiv w:val="1"/>
      <w:marLeft w:val="0"/>
      <w:marRight w:val="0"/>
      <w:marTop w:val="0"/>
      <w:marBottom w:val="0"/>
      <w:divBdr>
        <w:top w:val="none" w:sz="0" w:space="0" w:color="auto"/>
        <w:left w:val="none" w:sz="0" w:space="0" w:color="auto"/>
        <w:bottom w:val="none" w:sz="0" w:space="0" w:color="auto"/>
        <w:right w:val="none" w:sz="0" w:space="0" w:color="auto"/>
      </w:divBdr>
    </w:div>
    <w:div w:id="476000494">
      <w:bodyDiv w:val="1"/>
      <w:marLeft w:val="0"/>
      <w:marRight w:val="0"/>
      <w:marTop w:val="0"/>
      <w:marBottom w:val="0"/>
      <w:divBdr>
        <w:top w:val="none" w:sz="0" w:space="0" w:color="auto"/>
        <w:left w:val="none" w:sz="0" w:space="0" w:color="auto"/>
        <w:bottom w:val="none" w:sz="0" w:space="0" w:color="auto"/>
        <w:right w:val="none" w:sz="0" w:space="0" w:color="auto"/>
      </w:divBdr>
    </w:div>
    <w:div w:id="619381329">
      <w:bodyDiv w:val="1"/>
      <w:marLeft w:val="0"/>
      <w:marRight w:val="0"/>
      <w:marTop w:val="0"/>
      <w:marBottom w:val="0"/>
      <w:divBdr>
        <w:top w:val="none" w:sz="0" w:space="0" w:color="auto"/>
        <w:left w:val="none" w:sz="0" w:space="0" w:color="auto"/>
        <w:bottom w:val="none" w:sz="0" w:space="0" w:color="auto"/>
        <w:right w:val="none" w:sz="0" w:space="0" w:color="auto"/>
      </w:divBdr>
    </w:div>
    <w:div w:id="834300061">
      <w:bodyDiv w:val="1"/>
      <w:marLeft w:val="0"/>
      <w:marRight w:val="0"/>
      <w:marTop w:val="0"/>
      <w:marBottom w:val="0"/>
      <w:divBdr>
        <w:top w:val="none" w:sz="0" w:space="0" w:color="auto"/>
        <w:left w:val="none" w:sz="0" w:space="0" w:color="auto"/>
        <w:bottom w:val="none" w:sz="0" w:space="0" w:color="auto"/>
        <w:right w:val="none" w:sz="0" w:space="0" w:color="auto"/>
      </w:divBdr>
    </w:div>
    <w:div w:id="868951647">
      <w:bodyDiv w:val="1"/>
      <w:marLeft w:val="0"/>
      <w:marRight w:val="0"/>
      <w:marTop w:val="0"/>
      <w:marBottom w:val="0"/>
      <w:divBdr>
        <w:top w:val="none" w:sz="0" w:space="0" w:color="auto"/>
        <w:left w:val="none" w:sz="0" w:space="0" w:color="auto"/>
        <w:bottom w:val="none" w:sz="0" w:space="0" w:color="auto"/>
        <w:right w:val="none" w:sz="0" w:space="0" w:color="auto"/>
      </w:divBdr>
    </w:div>
    <w:div w:id="1105687994">
      <w:bodyDiv w:val="1"/>
      <w:marLeft w:val="0"/>
      <w:marRight w:val="0"/>
      <w:marTop w:val="0"/>
      <w:marBottom w:val="0"/>
      <w:divBdr>
        <w:top w:val="none" w:sz="0" w:space="0" w:color="auto"/>
        <w:left w:val="none" w:sz="0" w:space="0" w:color="auto"/>
        <w:bottom w:val="none" w:sz="0" w:space="0" w:color="auto"/>
        <w:right w:val="none" w:sz="0" w:space="0" w:color="auto"/>
      </w:divBdr>
    </w:div>
    <w:div w:id="1137260932">
      <w:bodyDiv w:val="1"/>
      <w:marLeft w:val="0"/>
      <w:marRight w:val="0"/>
      <w:marTop w:val="0"/>
      <w:marBottom w:val="0"/>
      <w:divBdr>
        <w:top w:val="none" w:sz="0" w:space="0" w:color="auto"/>
        <w:left w:val="none" w:sz="0" w:space="0" w:color="auto"/>
        <w:bottom w:val="none" w:sz="0" w:space="0" w:color="auto"/>
        <w:right w:val="none" w:sz="0" w:space="0" w:color="auto"/>
      </w:divBdr>
    </w:div>
    <w:div w:id="1144160239">
      <w:bodyDiv w:val="1"/>
      <w:marLeft w:val="0"/>
      <w:marRight w:val="0"/>
      <w:marTop w:val="0"/>
      <w:marBottom w:val="0"/>
      <w:divBdr>
        <w:top w:val="none" w:sz="0" w:space="0" w:color="auto"/>
        <w:left w:val="none" w:sz="0" w:space="0" w:color="auto"/>
        <w:bottom w:val="none" w:sz="0" w:space="0" w:color="auto"/>
        <w:right w:val="none" w:sz="0" w:space="0" w:color="auto"/>
      </w:divBdr>
    </w:div>
    <w:div w:id="1156216168">
      <w:bodyDiv w:val="1"/>
      <w:marLeft w:val="0"/>
      <w:marRight w:val="0"/>
      <w:marTop w:val="0"/>
      <w:marBottom w:val="0"/>
      <w:divBdr>
        <w:top w:val="none" w:sz="0" w:space="0" w:color="auto"/>
        <w:left w:val="none" w:sz="0" w:space="0" w:color="auto"/>
        <w:bottom w:val="none" w:sz="0" w:space="0" w:color="auto"/>
        <w:right w:val="none" w:sz="0" w:space="0" w:color="auto"/>
      </w:divBdr>
    </w:div>
    <w:div w:id="1219509493">
      <w:bodyDiv w:val="1"/>
      <w:marLeft w:val="0"/>
      <w:marRight w:val="0"/>
      <w:marTop w:val="0"/>
      <w:marBottom w:val="0"/>
      <w:divBdr>
        <w:top w:val="none" w:sz="0" w:space="0" w:color="auto"/>
        <w:left w:val="none" w:sz="0" w:space="0" w:color="auto"/>
        <w:bottom w:val="none" w:sz="0" w:space="0" w:color="auto"/>
        <w:right w:val="none" w:sz="0" w:space="0" w:color="auto"/>
      </w:divBdr>
    </w:div>
    <w:div w:id="1244223520">
      <w:bodyDiv w:val="1"/>
      <w:marLeft w:val="0"/>
      <w:marRight w:val="0"/>
      <w:marTop w:val="0"/>
      <w:marBottom w:val="0"/>
      <w:divBdr>
        <w:top w:val="none" w:sz="0" w:space="0" w:color="auto"/>
        <w:left w:val="none" w:sz="0" w:space="0" w:color="auto"/>
        <w:bottom w:val="none" w:sz="0" w:space="0" w:color="auto"/>
        <w:right w:val="none" w:sz="0" w:space="0" w:color="auto"/>
      </w:divBdr>
    </w:div>
    <w:div w:id="1345286704">
      <w:bodyDiv w:val="1"/>
      <w:marLeft w:val="0"/>
      <w:marRight w:val="0"/>
      <w:marTop w:val="0"/>
      <w:marBottom w:val="0"/>
      <w:divBdr>
        <w:top w:val="none" w:sz="0" w:space="0" w:color="auto"/>
        <w:left w:val="none" w:sz="0" w:space="0" w:color="auto"/>
        <w:bottom w:val="none" w:sz="0" w:space="0" w:color="auto"/>
        <w:right w:val="none" w:sz="0" w:space="0" w:color="auto"/>
      </w:divBdr>
    </w:div>
    <w:div w:id="1501460845">
      <w:bodyDiv w:val="1"/>
      <w:marLeft w:val="0"/>
      <w:marRight w:val="0"/>
      <w:marTop w:val="0"/>
      <w:marBottom w:val="0"/>
      <w:divBdr>
        <w:top w:val="none" w:sz="0" w:space="0" w:color="auto"/>
        <w:left w:val="none" w:sz="0" w:space="0" w:color="auto"/>
        <w:bottom w:val="none" w:sz="0" w:space="0" w:color="auto"/>
        <w:right w:val="none" w:sz="0" w:space="0" w:color="auto"/>
      </w:divBdr>
    </w:div>
    <w:div w:id="1756785493">
      <w:bodyDiv w:val="1"/>
      <w:marLeft w:val="0"/>
      <w:marRight w:val="0"/>
      <w:marTop w:val="0"/>
      <w:marBottom w:val="0"/>
      <w:divBdr>
        <w:top w:val="none" w:sz="0" w:space="0" w:color="auto"/>
        <w:left w:val="none" w:sz="0" w:space="0" w:color="auto"/>
        <w:bottom w:val="none" w:sz="0" w:space="0" w:color="auto"/>
        <w:right w:val="none" w:sz="0" w:space="0" w:color="auto"/>
      </w:divBdr>
    </w:div>
    <w:div w:id="1779909512">
      <w:bodyDiv w:val="1"/>
      <w:marLeft w:val="0"/>
      <w:marRight w:val="0"/>
      <w:marTop w:val="0"/>
      <w:marBottom w:val="0"/>
      <w:divBdr>
        <w:top w:val="none" w:sz="0" w:space="0" w:color="auto"/>
        <w:left w:val="none" w:sz="0" w:space="0" w:color="auto"/>
        <w:bottom w:val="none" w:sz="0" w:space="0" w:color="auto"/>
        <w:right w:val="none" w:sz="0" w:space="0" w:color="auto"/>
      </w:divBdr>
    </w:div>
    <w:div w:id="19221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1154</Words>
  <Characters>6351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DELVAUX</dc:creator>
  <cp:keywords/>
  <dc:description/>
  <cp:lastModifiedBy>Véronique DELVAUX</cp:lastModifiedBy>
  <cp:revision>11</cp:revision>
  <dcterms:created xsi:type="dcterms:W3CDTF">2021-06-18T11:59:00Z</dcterms:created>
  <dcterms:modified xsi:type="dcterms:W3CDTF">2021-06-29T13:14:00Z</dcterms:modified>
</cp:coreProperties>
</file>