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8267" w14:textId="1E9FDEED" w:rsidR="00252964" w:rsidRDefault="00252964"/>
    <w:p w14:paraId="7637ECDB" w14:textId="5A8687B1" w:rsidR="00714C2C" w:rsidRDefault="00714C2C"/>
    <w:p w14:paraId="76106E22" w14:textId="6F5E1093" w:rsidR="00714C2C" w:rsidRDefault="00714C2C"/>
    <w:p w14:paraId="06AECBEB" w14:textId="7AD1BB3A" w:rsidR="00714C2C" w:rsidRDefault="00714C2C"/>
    <w:p w14:paraId="5B089D80" w14:textId="748F1409" w:rsidR="00714C2C" w:rsidRDefault="00714C2C"/>
    <w:p w14:paraId="3000839F" w14:textId="1EC64966" w:rsidR="00714C2C" w:rsidRDefault="00714C2C"/>
    <w:p w14:paraId="37FA9157" w14:textId="22A694CB" w:rsidR="00714C2C" w:rsidRDefault="00714C2C"/>
    <w:p w14:paraId="6BA6EF95" w14:textId="0C017835" w:rsidR="00714C2C" w:rsidRPr="00B33E99" w:rsidRDefault="00714C2C" w:rsidP="0009327A">
      <w:pPr>
        <w:jc w:val="both"/>
        <w:rPr>
          <w:rFonts w:ascii="Arial" w:hAnsi="Arial" w:cs="Arial"/>
          <w:b/>
          <w:bCs/>
          <w:sz w:val="32"/>
          <w:szCs w:val="32"/>
        </w:rPr>
      </w:pPr>
      <w:r w:rsidRPr="00B33E99">
        <w:rPr>
          <w:rFonts w:ascii="Arial" w:hAnsi="Arial" w:cs="Arial"/>
          <w:b/>
          <w:bCs/>
          <w:sz w:val="32"/>
          <w:szCs w:val="32"/>
        </w:rPr>
        <w:t>Analyse de l’éventuelle expression différenciée de l’activisme institutionnel anglo-saxon sur les marchés français : les cas des groupes ACCOR et Lagardère</w:t>
      </w:r>
    </w:p>
    <w:p w14:paraId="1695082A" w14:textId="6E66E682" w:rsidR="00714C2C" w:rsidRPr="00B33E99" w:rsidRDefault="00714C2C">
      <w:pPr>
        <w:rPr>
          <w:rFonts w:ascii="Arial" w:hAnsi="Arial" w:cs="Arial"/>
          <w:b/>
          <w:bCs/>
          <w:sz w:val="32"/>
          <w:szCs w:val="32"/>
        </w:rPr>
      </w:pPr>
    </w:p>
    <w:p w14:paraId="7CA5EC5A" w14:textId="4A5BA38F" w:rsidR="00714C2C" w:rsidRPr="00B33E99" w:rsidRDefault="00714C2C">
      <w:pPr>
        <w:rPr>
          <w:rFonts w:ascii="Arial" w:hAnsi="Arial" w:cs="Arial"/>
          <w:sz w:val="28"/>
          <w:szCs w:val="28"/>
        </w:rPr>
      </w:pPr>
      <w:r w:rsidRPr="00B33E99">
        <w:rPr>
          <w:rFonts w:ascii="Arial" w:hAnsi="Arial" w:cs="Arial"/>
          <w:sz w:val="28"/>
          <w:szCs w:val="28"/>
        </w:rPr>
        <w:t>Pr. Alain Finet, Chef de service</w:t>
      </w:r>
    </w:p>
    <w:p w14:paraId="389E908C" w14:textId="410B8D2C" w:rsidR="00714C2C" w:rsidRPr="00B33E99" w:rsidRDefault="00714C2C">
      <w:pPr>
        <w:rPr>
          <w:rFonts w:ascii="Arial" w:hAnsi="Arial" w:cs="Arial"/>
          <w:sz w:val="28"/>
          <w:szCs w:val="28"/>
        </w:rPr>
      </w:pPr>
      <w:r w:rsidRPr="00B33E99">
        <w:rPr>
          <w:rFonts w:ascii="Arial" w:hAnsi="Arial" w:cs="Arial"/>
          <w:sz w:val="28"/>
          <w:szCs w:val="28"/>
        </w:rPr>
        <w:t xml:space="preserve">Kevin </w:t>
      </w:r>
      <w:proofErr w:type="spellStart"/>
      <w:r w:rsidRPr="00B33E99">
        <w:rPr>
          <w:rFonts w:ascii="Arial" w:hAnsi="Arial" w:cs="Arial"/>
          <w:sz w:val="28"/>
          <w:szCs w:val="28"/>
        </w:rPr>
        <w:t>Kristoforidis</w:t>
      </w:r>
      <w:proofErr w:type="spellEnd"/>
      <w:r w:rsidRPr="00B33E99">
        <w:rPr>
          <w:rFonts w:ascii="Arial" w:hAnsi="Arial" w:cs="Arial"/>
          <w:sz w:val="28"/>
          <w:szCs w:val="28"/>
        </w:rPr>
        <w:t>, Assistant</w:t>
      </w:r>
    </w:p>
    <w:p w14:paraId="73339637" w14:textId="50F0ED60" w:rsidR="00714C2C" w:rsidRPr="00B33E99" w:rsidRDefault="00714C2C">
      <w:pPr>
        <w:rPr>
          <w:rFonts w:ascii="Arial" w:hAnsi="Arial" w:cs="Arial"/>
          <w:sz w:val="28"/>
          <w:szCs w:val="28"/>
        </w:rPr>
      </w:pPr>
      <w:r w:rsidRPr="00B33E99">
        <w:rPr>
          <w:rFonts w:ascii="Arial" w:hAnsi="Arial" w:cs="Arial"/>
          <w:sz w:val="28"/>
          <w:szCs w:val="28"/>
        </w:rPr>
        <w:t>Service Management Financier et Dynamiques Territoriales</w:t>
      </w:r>
    </w:p>
    <w:p w14:paraId="45CF6406" w14:textId="2F6D3D08" w:rsidR="00714C2C" w:rsidRPr="00B33E99" w:rsidRDefault="00714C2C">
      <w:pPr>
        <w:rPr>
          <w:rFonts w:ascii="Arial" w:hAnsi="Arial" w:cs="Arial"/>
          <w:sz w:val="28"/>
          <w:szCs w:val="28"/>
        </w:rPr>
      </w:pPr>
      <w:r w:rsidRPr="00B33E99">
        <w:rPr>
          <w:rFonts w:ascii="Arial" w:hAnsi="Arial" w:cs="Arial"/>
          <w:sz w:val="28"/>
          <w:szCs w:val="28"/>
        </w:rPr>
        <w:t>Université de Mons</w:t>
      </w:r>
    </w:p>
    <w:p w14:paraId="0CCB2317" w14:textId="680DF242" w:rsidR="00714C2C" w:rsidRPr="00B33E99" w:rsidRDefault="00714C2C">
      <w:pPr>
        <w:rPr>
          <w:rFonts w:ascii="Arial" w:hAnsi="Arial" w:cs="Arial"/>
          <w:sz w:val="28"/>
          <w:szCs w:val="28"/>
        </w:rPr>
      </w:pPr>
    </w:p>
    <w:p w14:paraId="7A13C40F" w14:textId="63557DD7" w:rsidR="00714C2C" w:rsidRPr="00B33E99" w:rsidRDefault="00714C2C">
      <w:pPr>
        <w:rPr>
          <w:rFonts w:ascii="Arial" w:hAnsi="Arial" w:cs="Arial"/>
          <w:sz w:val="28"/>
          <w:szCs w:val="28"/>
        </w:rPr>
      </w:pPr>
      <w:r w:rsidRPr="00B33E99">
        <w:rPr>
          <w:rFonts w:ascii="Arial" w:hAnsi="Arial" w:cs="Arial"/>
          <w:sz w:val="28"/>
          <w:szCs w:val="28"/>
        </w:rPr>
        <w:br w:type="page"/>
      </w:r>
    </w:p>
    <w:p w14:paraId="61C98DD3" w14:textId="50AC3E03" w:rsidR="00714C2C" w:rsidRDefault="00714C2C" w:rsidP="005C2A31">
      <w:pPr>
        <w:pStyle w:val="Paragraphedeliste"/>
        <w:numPr>
          <w:ilvl w:val="0"/>
          <w:numId w:val="1"/>
        </w:numPr>
        <w:spacing w:line="240" w:lineRule="auto"/>
        <w:jc w:val="both"/>
        <w:rPr>
          <w:rFonts w:ascii="Arial" w:hAnsi="Arial" w:cs="Arial"/>
          <w:sz w:val="28"/>
          <w:szCs w:val="28"/>
          <w:u w:val="single"/>
        </w:rPr>
      </w:pPr>
      <w:r w:rsidRPr="00B33E99">
        <w:rPr>
          <w:rFonts w:ascii="Arial" w:hAnsi="Arial" w:cs="Arial"/>
          <w:sz w:val="28"/>
          <w:szCs w:val="28"/>
          <w:u w:val="single"/>
        </w:rPr>
        <w:lastRenderedPageBreak/>
        <w:t>Résumés</w:t>
      </w:r>
    </w:p>
    <w:p w14:paraId="7AD3DC4B" w14:textId="2CB715F8" w:rsidR="00AF5E06" w:rsidRDefault="00AF5E06" w:rsidP="00AF5E06">
      <w:pPr>
        <w:pStyle w:val="Paragraphedeliste"/>
        <w:spacing w:line="240" w:lineRule="auto"/>
        <w:jc w:val="both"/>
        <w:rPr>
          <w:rFonts w:ascii="Arial" w:hAnsi="Arial" w:cs="Arial"/>
          <w:sz w:val="28"/>
          <w:szCs w:val="28"/>
          <w:u w:val="single"/>
        </w:rPr>
      </w:pPr>
    </w:p>
    <w:p w14:paraId="06D29427" w14:textId="5F1BC0A6" w:rsidR="00AF5E06" w:rsidRDefault="00AF5E06" w:rsidP="00AF5E06">
      <w:pPr>
        <w:pStyle w:val="Paragraphedeliste"/>
        <w:spacing w:line="240" w:lineRule="auto"/>
        <w:jc w:val="both"/>
        <w:rPr>
          <w:rFonts w:ascii="Arial" w:hAnsi="Arial" w:cs="Arial"/>
          <w:sz w:val="24"/>
          <w:szCs w:val="24"/>
        </w:rPr>
      </w:pPr>
      <w:r>
        <w:rPr>
          <w:rFonts w:ascii="Arial" w:hAnsi="Arial" w:cs="Arial"/>
          <w:sz w:val="24"/>
          <w:szCs w:val="24"/>
        </w:rPr>
        <w:t>L</w:t>
      </w:r>
      <w:r w:rsidR="001F6DB0">
        <w:rPr>
          <w:rFonts w:ascii="Arial" w:hAnsi="Arial" w:cs="Arial"/>
          <w:sz w:val="24"/>
          <w:szCs w:val="24"/>
        </w:rPr>
        <w:t>’immersion</w:t>
      </w:r>
      <w:r>
        <w:rPr>
          <w:rFonts w:ascii="Arial" w:hAnsi="Arial" w:cs="Arial"/>
          <w:sz w:val="24"/>
          <w:szCs w:val="24"/>
        </w:rPr>
        <w:t xml:space="preserve"> dans la </w:t>
      </w:r>
      <w:r w:rsidR="007408AE">
        <w:rPr>
          <w:rFonts w:ascii="Arial" w:hAnsi="Arial" w:cs="Arial"/>
          <w:sz w:val="24"/>
          <w:szCs w:val="24"/>
        </w:rPr>
        <w:t xml:space="preserve">géographie </w:t>
      </w:r>
      <w:r>
        <w:rPr>
          <w:rFonts w:ascii="Arial" w:hAnsi="Arial" w:cs="Arial"/>
          <w:sz w:val="24"/>
          <w:szCs w:val="24"/>
        </w:rPr>
        <w:t xml:space="preserve">actionnariale d’une entreprise </w:t>
      </w:r>
      <w:r w:rsidR="00E050F6">
        <w:rPr>
          <w:rFonts w:ascii="Arial" w:hAnsi="Arial" w:cs="Arial"/>
          <w:sz w:val="24"/>
          <w:szCs w:val="24"/>
        </w:rPr>
        <w:t xml:space="preserve">permet d’appréhender </w:t>
      </w:r>
      <w:r w:rsidR="002860CB">
        <w:rPr>
          <w:rFonts w:ascii="Arial" w:hAnsi="Arial" w:cs="Arial"/>
          <w:sz w:val="24"/>
          <w:szCs w:val="24"/>
        </w:rPr>
        <w:t>certain</w:t>
      </w:r>
      <w:r w:rsidR="00E050F6">
        <w:rPr>
          <w:rFonts w:ascii="Arial" w:hAnsi="Arial" w:cs="Arial"/>
          <w:sz w:val="24"/>
          <w:szCs w:val="24"/>
        </w:rPr>
        <w:t xml:space="preserve">s contours stratégiques </w:t>
      </w:r>
      <w:r w:rsidR="001C63CB">
        <w:rPr>
          <w:rFonts w:ascii="Arial" w:hAnsi="Arial" w:cs="Arial"/>
          <w:sz w:val="24"/>
          <w:szCs w:val="24"/>
        </w:rPr>
        <w:t>de</w:t>
      </w:r>
      <w:r w:rsidR="00E050F6">
        <w:rPr>
          <w:rFonts w:ascii="Arial" w:hAnsi="Arial" w:cs="Arial"/>
          <w:sz w:val="24"/>
          <w:szCs w:val="24"/>
        </w:rPr>
        <w:t xml:space="preserve"> celle-ci.</w:t>
      </w:r>
      <w:r w:rsidR="000E4021">
        <w:rPr>
          <w:rFonts w:ascii="Arial" w:hAnsi="Arial" w:cs="Arial"/>
          <w:sz w:val="24"/>
          <w:szCs w:val="24"/>
        </w:rPr>
        <w:t xml:space="preserve"> Si les </w:t>
      </w:r>
      <w:r w:rsidR="005C76D6">
        <w:rPr>
          <w:rFonts w:ascii="Arial" w:hAnsi="Arial" w:cs="Arial"/>
          <w:sz w:val="24"/>
          <w:szCs w:val="24"/>
        </w:rPr>
        <w:t xml:space="preserve">structures de capital ont longtemps été cadenassées dans un souci de préservation national de la propriété des entreprises, </w:t>
      </w:r>
      <w:r w:rsidR="00A01DD9">
        <w:rPr>
          <w:rFonts w:ascii="Arial" w:hAnsi="Arial" w:cs="Arial"/>
          <w:sz w:val="24"/>
          <w:szCs w:val="24"/>
        </w:rPr>
        <w:t xml:space="preserve">la liberté de mouvements des capitaux </w:t>
      </w:r>
      <w:r w:rsidR="00F10E90">
        <w:rPr>
          <w:rFonts w:ascii="Arial" w:hAnsi="Arial" w:cs="Arial"/>
          <w:sz w:val="24"/>
          <w:szCs w:val="24"/>
        </w:rPr>
        <w:t>a sensiblement modifié les paradigmes financiers</w:t>
      </w:r>
      <w:r w:rsidR="006320D5">
        <w:rPr>
          <w:rFonts w:ascii="Arial" w:hAnsi="Arial" w:cs="Arial"/>
          <w:sz w:val="24"/>
          <w:szCs w:val="24"/>
        </w:rPr>
        <w:t>. En considérant le marché français et les évolutions dans les orientations capita</w:t>
      </w:r>
      <w:r w:rsidR="001D4157">
        <w:rPr>
          <w:rFonts w:ascii="Arial" w:hAnsi="Arial" w:cs="Arial"/>
          <w:sz w:val="24"/>
          <w:szCs w:val="24"/>
        </w:rPr>
        <w:t xml:space="preserve">listiques de celui-ci, nous faisons le constat de </w:t>
      </w:r>
      <w:r w:rsidR="00FE3A0A">
        <w:rPr>
          <w:rFonts w:ascii="Arial" w:hAnsi="Arial" w:cs="Arial"/>
          <w:sz w:val="24"/>
          <w:szCs w:val="24"/>
        </w:rPr>
        <w:t xml:space="preserve">l’immixtion des investisseurs </w:t>
      </w:r>
      <w:r w:rsidR="00F15CA6">
        <w:rPr>
          <w:rFonts w:ascii="Arial" w:hAnsi="Arial" w:cs="Arial"/>
          <w:sz w:val="24"/>
          <w:szCs w:val="24"/>
        </w:rPr>
        <w:t>institutionnels au</w:t>
      </w:r>
      <w:r w:rsidR="001D4157">
        <w:rPr>
          <w:rFonts w:ascii="Arial" w:hAnsi="Arial" w:cs="Arial"/>
          <w:sz w:val="24"/>
          <w:szCs w:val="24"/>
        </w:rPr>
        <w:t xml:space="preserve"> sein des entreprises.</w:t>
      </w:r>
      <w:r w:rsidR="00F15CA6">
        <w:rPr>
          <w:rFonts w:ascii="Arial" w:hAnsi="Arial" w:cs="Arial"/>
          <w:sz w:val="24"/>
          <w:szCs w:val="24"/>
        </w:rPr>
        <w:t xml:space="preserve"> Peu famili</w:t>
      </w:r>
      <w:r w:rsidR="0006157A">
        <w:rPr>
          <w:rFonts w:ascii="Arial" w:hAnsi="Arial" w:cs="Arial"/>
          <w:sz w:val="24"/>
          <w:szCs w:val="24"/>
        </w:rPr>
        <w:t>ères</w:t>
      </w:r>
      <w:r w:rsidR="00F15CA6">
        <w:rPr>
          <w:rFonts w:ascii="Arial" w:hAnsi="Arial" w:cs="Arial"/>
          <w:sz w:val="24"/>
          <w:szCs w:val="24"/>
        </w:rPr>
        <w:t xml:space="preserve"> à ce nouveau type d’acteurs actionnariaux, </w:t>
      </w:r>
      <w:r w:rsidR="0006157A">
        <w:rPr>
          <w:rFonts w:ascii="Arial" w:hAnsi="Arial" w:cs="Arial"/>
          <w:sz w:val="24"/>
          <w:szCs w:val="24"/>
        </w:rPr>
        <w:t>certaines entreprises françaises vont être soumises à de l’activisme</w:t>
      </w:r>
      <w:r w:rsidR="006B399E">
        <w:rPr>
          <w:rFonts w:ascii="Arial" w:hAnsi="Arial" w:cs="Arial"/>
          <w:sz w:val="24"/>
          <w:szCs w:val="24"/>
        </w:rPr>
        <w:t xml:space="preserve"> institutionnel en vue de revoir</w:t>
      </w:r>
      <w:r w:rsidR="00B22DFE">
        <w:rPr>
          <w:rFonts w:ascii="Arial" w:hAnsi="Arial" w:cs="Arial"/>
          <w:sz w:val="24"/>
          <w:szCs w:val="24"/>
        </w:rPr>
        <w:t xml:space="preserve">, premièrement, </w:t>
      </w:r>
      <w:r w:rsidR="006B399E">
        <w:rPr>
          <w:rFonts w:ascii="Arial" w:hAnsi="Arial" w:cs="Arial"/>
          <w:sz w:val="24"/>
          <w:szCs w:val="24"/>
        </w:rPr>
        <w:t>leur gouvernance et</w:t>
      </w:r>
      <w:r w:rsidR="00B22DFE">
        <w:rPr>
          <w:rFonts w:ascii="Arial" w:hAnsi="Arial" w:cs="Arial"/>
          <w:sz w:val="24"/>
          <w:szCs w:val="24"/>
        </w:rPr>
        <w:t>, deuxièmement,</w:t>
      </w:r>
      <w:r w:rsidR="006B399E">
        <w:rPr>
          <w:rFonts w:ascii="Arial" w:hAnsi="Arial" w:cs="Arial"/>
          <w:sz w:val="24"/>
          <w:szCs w:val="24"/>
        </w:rPr>
        <w:t xml:space="preserve"> la définition de leurs périmètres stratégiques.</w:t>
      </w:r>
      <w:r w:rsidR="00B22DFE">
        <w:rPr>
          <w:rFonts w:ascii="Arial" w:hAnsi="Arial" w:cs="Arial"/>
          <w:sz w:val="24"/>
          <w:szCs w:val="24"/>
        </w:rPr>
        <w:t xml:space="preserve"> Si </w:t>
      </w:r>
      <w:r w:rsidR="00D4684A">
        <w:rPr>
          <w:rFonts w:ascii="Arial" w:hAnsi="Arial" w:cs="Arial"/>
          <w:sz w:val="24"/>
          <w:szCs w:val="24"/>
        </w:rPr>
        <w:t xml:space="preserve">les investisseurs institutionnels ont eu tendance à se positionner au sein de structures de propriété perméables </w:t>
      </w:r>
      <w:r w:rsidR="00C20600">
        <w:rPr>
          <w:rFonts w:ascii="Arial" w:hAnsi="Arial" w:cs="Arial"/>
          <w:sz w:val="24"/>
          <w:szCs w:val="24"/>
        </w:rPr>
        <w:t xml:space="preserve">au sein desquelles le voisinage actionnarial leur était acquis, </w:t>
      </w:r>
      <w:r w:rsidR="00DD7601">
        <w:rPr>
          <w:rFonts w:ascii="Arial" w:hAnsi="Arial" w:cs="Arial"/>
          <w:sz w:val="24"/>
          <w:szCs w:val="24"/>
        </w:rPr>
        <w:t xml:space="preserve">ils prennent également position au sein d’entreprises </w:t>
      </w:r>
      <w:r w:rsidR="00847664">
        <w:rPr>
          <w:rFonts w:ascii="Arial" w:hAnsi="Arial" w:cs="Arial"/>
          <w:sz w:val="24"/>
          <w:szCs w:val="24"/>
        </w:rPr>
        <w:t>aux contours familiaux. En considérant deux entreprises caractérisées par des structure</w:t>
      </w:r>
      <w:r w:rsidR="00802B7C">
        <w:rPr>
          <w:rFonts w:ascii="Arial" w:hAnsi="Arial" w:cs="Arial"/>
          <w:sz w:val="24"/>
          <w:szCs w:val="24"/>
        </w:rPr>
        <w:t>s</w:t>
      </w:r>
      <w:r w:rsidR="00847664">
        <w:rPr>
          <w:rFonts w:ascii="Arial" w:hAnsi="Arial" w:cs="Arial"/>
          <w:sz w:val="24"/>
          <w:szCs w:val="24"/>
        </w:rPr>
        <w:t xml:space="preserve"> de p</w:t>
      </w:r>
      <w:r w:rsidR="00190967">
        <w:rPr>
          <w:rFonts w:ascii="Arial" w:hAnsi="Arial" w:cs="Arial"/>
          <w:sz w:val="24"/>
          <w:szCs w:val="24"/>
        </w:rPr>
        <w:t>ropriété différentes (l’une ouverte et l’autre apparemment cadenassée)</w:t>
      </w:r>
      <w:r w:rsidR="00FC59A0">
        <w:rPr>
          <w:rFonts w:ascii="Arial" w:hAnsi="Arial" w:cs="Arial"/>
          <w:sz w:val="24"/>
          <w:szCs w:val="24"/>
        </w:rPr>
        <w:t xml:space="preserve">, nous faisons </w:t>
      </w:r>
      <w:r w:rsidR="006C3B80">
        <w:rPr>
          <w:rFonts w:ascii="Arial" w:hAnsi="Arial" w:cs="Arial"/>
          <w:sz w:val="24"/>
          <w:szCs w:val="24"/>
        </w:rPr>
        <w:t xml:space="preserve">toutefois </w:t>
      </w:r>
      <w:r w:rsidR="00FC59A0">
        <w:rPr>
          <w:rFonts w:ascii="Arial" w:hAnsi="Arial" w:cs="Arial"/>
          <w:sz w:val="24"/>
          <w:szCs w:val="24"/>
        </w:rPr>
        <w:t>le constat d’une uniformité d’interventionnisme et d’activisme institutionnels.</w:t>
      </w:r>
      <w:r w:rsidR="006B399E">
        <w:rPr>
          <w:rFonts w:ascii="Arial" w:hAnsi="Arial" w:cs="Arial"/>
          <w:sz w:val="24"/>
          <w:szCs w:val="24"/>
        </w:rPr>
        <w:t xml:space="preserve"> </w:t>
      </w:r>
      <w:r w:rsidR="005C76D6">
        <w:rPr>
          <w:rFonts w:ascii="Arial" w:hAnsi="Arial" w:cs="Arial"/>
          <w:sz w:val="24"/>
          <w:szCs w:val="24"/>
        </w:rPr>
        <w:t xml:space="preserve"> </w:t>
      </w:r>
    </w:p>
    <w:p w14:paraId="3C00DF16" w14:textId="087B2696" w:rsidR="00342391" w:rsidRDefault="00342391" w:rsidP="00AF5E06">
      <w:pPr>
        <w:pStyle w:val="Paragraphedeliste"/>
        <w:spacing w:line="240" w:lineRule="auto"/>
        <w:jc w:val="both"/>
        <w:rPr>
          <w:rFonts w:ascii="Arial" w:hAnsi="Arial" w:cs="Arial"/>
          <w:sz w:val="24"/>
          <w:szCs w:val="24"/>
        </w:rPr>
      </w:pPr>
    </w:p>
    <w:p w14:paraId="1CEC0738" w14:textId="72AFC51C" w:rsidR="001C63CB" w:rsidRPr="00A52DDA" w:rsidRDefault="00C21C66" w:rsidP="00A52DDA">
      <w:pPr>
        <w:ind w:left="708"/>
        <w:jc w:val="both"/>
        <w:rPr>
          <w:rFonts w:ascii="Arial" w:hAnsi="Arial" w:cs="Arial"/>
          <w:sz w:val="24"/>
          <w:szCs w:val="24"/>
        </w:rPr>
      </w:pPr>
      <w:proofErr w:type="spellStart"/>
      <w:r>
        <w:rPr>
          <w:rFonts w:ascii="Arial" w:hAnsi="Arial" w:cs="Arial"/>
          <w:sz w:val="24"/>
          <w:szCs w:val="24"/>
        </w:rPr>
        <w:t>Considering</w:t>
      </w:r>
      <w:proofErr w:type="spellEnd"/>
      <w:r w:rsidR="00342391" w:rsidRPr="00342391">
        <w:rPr>
          <w:rFonts w:ascii="Arial" w:hAnsi="Arial" w:cs="Arial"/>
          <w:sz w:val="24"/>
          <w:szCs w:val="24"/>
        </w:rPr>
        <w:t xml:space="preserve"> the </w:t>
      </w:r>
      <w:proofErr w:type="spellStart"/>
      <w:r w:rsidR="00AA07AF">
        <w:rPr>
          <w:rFonts w:ascii="Arial" w:hAnsi="Arial" w:cs="Arial"/>
          <w:sz w:val="24"/>
          <w:szCs w:val="24"/>
        </w:rPr>
        <w:t>company</w:t>
      </w:r>
      <w:r w:rsidR="007E51A0">
        <w:rPr>
          <w:rFonts w:ascii="Arial" w:hAnsi="Arial" w:cs="Arial"/>
          <w:sz w:val="24"/>
          <w:szCs w:val="24"/>
        </w:rPr>
        <w:t>’s</w:t>
      </w:r>
      <w:proofErr w:type="spellEnd"/>
      <w:r w:rsidR="007E51A0">
        <w:rPr>
          <w:rFonts w:ascii="Arial" w:hAnsi="Arial" w:cs="Arial"/>
          <w:sz w:val="24"/>
          <w:szCs w:val="24"/>
        </w:rPr>
        <w:t xml:space="preserve"> </w:t>
      </w:r>
      <w:proofErr w:type="spellStart"/>
      <w:r w:rsidR="00342391" w:rsidRPr="00342391">
        <w:rPr>
          <w:rFonts w:ascii="Arial" w:hAnsi="Arial" w:cs="Arial"/>
          <w:sz w:val="24"/>
          <w:szCs w:val="24"/>
        </w:rPr>
        <w:t>shareholder</w:t>
      </w:r>
      <w:proofErr w:type="spellEnd"/>
      <w:r w:rsidR="00342391" w:rsidRPr="00342391">
        <w:rPr>
          <w:rFonts w:ascii="Arial" w:hAnsi="Arial" w:cs="Arial"/>
          <w:sz w:val="24"/>
          <w:szCs w:val="24"/>
        </w:rPr>
        <w:t xml:space="preserve"> reality</w:t>
      </w:r>
      <w:r w:rsidR="00820E46">
        <w:rPr>
          <w:rFonts w:ascii="Arial" w:hAnsi="Arial" w:cs="Arial"/>
          <w:sz w:val="24"/>
          <w:szCs w:val="24"/>
        </w:rPr>
        <w:t xml:space="preserve"> </w:t>
      </w:r>
      <w:proofErr w:type="spellStart"/>
      <w:r w:rsidR="00342391" w:rsidRPr="00342391">
        <w:rPr>
          <w:rFonts w:ascii="Arial" w:hAnsi="Arial" w:cs="Arial"/>
          <w:sz w:val="24"/>
          <w:szCs w:val="24"/>
        </w:rPr>
        <w:t>makes</w:t>
      </w:r>
      <w:proofErr w:type="spellEnd"/>
      <w:r w:rsidR="00342391" w:rsidRPr="00342391">
        <w:rPr>
          <w:rFonts w:ascii="Arial" w:hAnsi="Arial" w:cs="Arial"/>
          <w:sz w:val="24"/>
          <w:szCs w:val="24"/>
        </w:rPr>
        <w:t xml:space="preserve"> </w:t>
      </w:r>
      <w:proofErr w:type="spellStart"/>
      <w:r w:rsidR="00342391" w:rsidRPr="00342391">
        <w:rPr>
          <w:rFonts w:ascii="Arial" w:hAnsi="Arial" w:cs="Arial"/>
          <w:sz w:val="24"/>
          <w:szCs w:val="24"/>
        </w:rPr>
        <w:t>understand</w:t>
      </w:r>
      <w:proofErr w:type="spellEnd"/>
      <w:r w:rsidR="00342391" w:rsidRPr="00342391">
        <w:rPr>
          <w:rFonts w:ascii="Arial" w:hAnsi="Arial" w:cs="Arial"/>
          <w:sz w:val="24"/>
          <w:szCs w:val="24"/>
        </w:rPr>
        <w:t xml:space="preserve"> certain </w:t>
      </w:r>
      <w:proofErr w:type="spellStart"/>
      <w:r w:rsidR="00342391" w:rsidRPr="00342391">
        <w:rPr>
          <w:rFonts w:ascii="Arial" w:hAnsi="Arial" w:cs="Arial"/>
          <w:sz w:val="24"/>
          <w:szCs w:val="24"/>
        </w:rPr>
        <w:t>strategic</w:t>
      </w:r>
      <w:proofErr w:type="spellEnd"/>
      <w:r w:rsidR="00342391" w:rsidRPr="00342391">
        <w:rPr>
          <w:rFonts w:ascii="Arial" w:hAnsi="Arial" w:cs="Arial"/>
          <w:sz w:val="24"/>
          <w:szCs w:val="24"/>
        </w:rPr>
        <w:t xml:space="preserve"> </w:t>
      </w:r>
      <w:proofErr w:type="spellStart"/>
      <w:r>
        <w:rPr>
          <w:rFonts w:ascii="Arial" w:hAnsi="Arial" w:cs="Arial"/>
          <w:sz w:val="24"/>
          <w:szCs w:val="24"/>
        </w:rPr>
        <w:t>frontiers</w:t>
      </w:r>
      <w:proofErr w:type="spellEnd"/>
      <w:r w:rsidR="00342391" w:rsidRPr="00342391">
        <w:rPr>
          <w:rFonts w:ascii="Arial" w:hAnsi="Arial" w:cs="Arial"/>
          <w:sz w:val="24"/>
          <w:szCs w:val="24"/>
        </w:rPr>
        <w:t xml:space="preserve">. If the capital structures have long been </w:t>
      </w:r>
      <w:proofErr w:type="spellStart"/>
      <w:r w:rsidR="00342391" w:rsidRPr="00342391">
        <w:rPr>
          <w:rFonts w:ascii="Arial" w:hAnsi="Arial" w:cs="Arial"/>
          <w:sz w:val="24"/>
          <w:szCs w:val="24"/>
        </w:rPr>
        <w:t>locked</w:t>
      </w:r>
      <w:proofErr w:type="spellEnd"/>
      <w:r w:rsidR="00342391" w:rsidRPr="00342391">
        <w:rPr>
          <w:rFonts w:ascii="Arial" w:hAnsi="Arial" w:cs="Arial"/>
          <w:sz w:val="24"/>
          <w:szCs w:val="24"/>
        </w:rPr>
        <w:t xml:space="preserve"> out for the </w:t>
      </w:r>
      <w:proofErr w:type="spellStart"/>
      <w:r w:rsidR="00342391" w:rsidRPr="00342391">
        <w:rPr>
          <w:rFonts w:ascii="Arial" w:hAnsi="Arial" w:cs="Arial"/>
          <w:sz w:val="24"/>
          <w:szCs w:val="24"/>
        </w:rPr>
        <w:t>sake</w:t>
      </w:r>
      <w:proofErr w:type="spellEnd"/>
      <w:r w:rsidR="00342391" w:rsidRPr="00342391">
        <w:rPr>
          <w:rFonts w:ascii="Arial" w:hAnsi="Arial" w:cs="Arial"/>
          <w:sz w:val="24"/>
          <w:szCs w:val="24"/>
        </w:rPr>
        <w:t xml:space="preserve"> of national </w:t>
      </w:r>
      <w:proofErr w:type="spellStart"/>
      <w:r w:rsidR="00342391" w:rsidRPr="00342391">
        <w:rPr>
          <w:rFonts w:ascii="Arial" w:hAnsi="Arial" w:cs="Arial"/>
          <w:sz w:val="24"/>
          <w:szCs w:val="24"/>
        </w:rPr>
        <w:t>preservation</w:t>
      </w:r>
      <w:proofErr w:type="spellEnd"/>
      <w:r w:rsidR="00342391" w:rsidRPr="00342391">
        <w:rPr>
          <w:rFonts w:ascii="Arial" w:hAnsi="Arial" w:cs="Arial"/>
          <w:sz w:val="24"/>
          <w:szCs w:val="24"/>
        </w:rPr>
        <w:t xml:space="preserve"> of </w:t>
      </w:r>
      <w:proofErr w:type="spellStart"/>
      <w:r w:rsidR="00342391" w:rsidRPr="00342391">
        <w:rPr>
          <w:rFonts w:ascii="Arial" w:hAnsi="Arial" w:cs="Arial"/>
          <w:sz w:val="24"/>
          <w:szCs w:val="24"/>
        </w:rPr>
        <w:t>propert</w:t>
      </w:r>
      <w:r w:rsidR="00592BEE">
        <w:rPr>
          <w:rFonts w:ascii="Arial" w:hAnsi="Arial" w:cs="Arial"/>
          <w:sz w:val="24"/>
          <w:szCs w:val="24"/>
        </w:rPr>
        <w:t>y</w:t>
      </w:r>
      <w:proofErr w:type="spellEnd"/>
      <w:r w:rsidR="00592BEE">
        <w:rPr>
          <w:rFonts w:ascii="Arial" w:hAnsi="Arial" w:cs="Arial"/>
          <w:sz w:val="24"/>
          <w:szCs w:val="24"/>
        </w:rPr>
        <w:t xml:space="preserve">, </w:t>
      </w:r>
      <w:r w:rsidR="00592BEE" w:rsidRPr="00592BEE">
        <w:rPr>
          <w:rFonts w:ascii="Arial" w:hAnsi="Arial" w:cs="Arial"/>
          <w:sz w:val="24"/>
          <w:szCs w:val="24"/>
        </w:rPr>
        <w:t xml:space="preserve">the free </w:t>
      </w:r>
      <w:proofErr w:type="spellStart"/>
      <w:r w:rsidR="00592BEE" w:rsidRPr="00592BEE">
        <w:rPr>
          <w:rFonts w:ascii="Arial" w:hAnsi="Arial" w:cs="Arial"/>
          <w:sz w:val="24"/>
          <w:szCs w:val="24"/>
        </w:rPr>
        <w:t>movement</w:t>
      </w:r>
      <w:proofErr w:type="spellEnd"/>
      <w:r w:rsidR="00592BEE" w:rsidRPr="00592BEE">
        <w:rPr>
          <w:rFonts w:ascii="Arial" w:hAnsi="Arial" w:cs="Arial"/>
          <w:sz w:val="24"/>
          <w:szCs w:val="24"/>
        </w:rPr>
        <w:t xml:space="preserve"> of capital has </w:t>
      </w:r>
      <w:proofErr w:type="spellStart"/>
      <w:r w:rsidR="00592BEE" w:rsidRPr="00592BEE">
        <w:rPr>
          <w:rFonts w:ascii="Arial" w:hAnsi="Arial" w:cs="Arial"/>
          <w:sz w:val="24"/>
          <w:szCs w:val="24"/>
        </w:rPr>
        <w:t>significantly</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changed</w:t>
      </w:r>
      <w:proofErr w:type="spellEnd"/>
      <w:r w:rsidR="00592BEE" w:rsidRPr="00592BEE">
        <w:rPr>
          <w:rFonts w:ascii="Arial" w:hAnsi="Arial" w:cs="Arial"/>
          <w:sz w:val="24"/>
          <w:szCs w:val="24"/>
        </w:rPr>
        <w:t xml:space="preserve"> </w:t>
      </w:r>
      <w:proofErr w:type="spellStart"/>
      <w:r w:rsidR="00B25A0C">
        <w:rPr>
          <w:rFonts w:ascii="Arial" w:hAnsi="Arial" w:cs="Arial"/>
          <w:sz w:val="24"/>
          <w:szCs w:val="24"/>
        </w:rPr>
        <w:t>some</w:t>
      </w:r>
      <w:proofErr w:type="spellEnd"/>
      <w:r w:rsidR="00B25A0C">
        <w:rPr>
          <w:rFonts w:ascii="Arial" w:hAnsi="Arial" w:cs="Arial"/>
          <w:sz w:val="24"/>
          <w:szCs w:val="24"/>
        </w:rPr>
        <w:t xml:space="preserve"> </w:t>
      </w:r>
      <w:proofErr w:type="spellStart"/>
      <w:r w:rsidR="00592BEE" w:rsidRPr="00592BEE">
        <w:rPr>
          <w:rFonts w:ascii="Arial" w:hAnsi="Arial" w:cs="Arial"/>
          <w:sz w:val="24"/>
          <w:szCs w:val="24"/>
        </w:rPr>
        <w:t>financial</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paradigms</w:t>
      </w:r>
      <w:proofErr w:type="spellEnd"/>
      <w:r w:rsidR="00592BEE" w:rsidRPr="00592BEE">
        <w:rPr>
          <w:rFonts w:ascii="Arial" w:hAnsi="Arial" w:cs="Arial"/>
          <w:sz w:val="24"/>
          <w:szCs w:val="24"/>
        </w:rPr>
        <w:t xml:space="preserve">. By </w:t>
      </w:r>
      <w:proofErr w:type="spellStart"/>
      <w:r w:rsidR="00592BEE" w:rsidRPr="00592BEE">
        <w:rPr>
          <w:rFonts w:ascii="Arial" w:hAnsi="Arial" w:cs="Arial"/>
          <w:sz w:val="24"/>
          <w:szCs w:val="24"/>
        </w:rPr>
        <w:t>considering</w:t>
      </w:r>
      <w:proofErr w:type="spellEnd"/>
      <w:r w:rsidR="00592BEE" w:rsidRPr="00592BEE">
        <w:rPr>
          <w:rFonts w:ascii="Arial" w:hAnsi="Arial" w:cs="Arial"/>
          <w:sz w:val="24"/>
          <w:szCs w:val="24"/>
        </w:rPr>
        <w:t xml:space="preserve"> the French </w:t>
      </w:r>
      <w:proofErr w:type="spellStart"/>
      <w:r w:rsidR="00592BEE" w:rsidRPr="00592BEE">
        <w:rPr>
          <w:rFonts w:ascii="Arial" w:hAnsi="Arial" w:cs="Arial"/>
          <w:sz w:val="24"/>
          <w:szCs w:val="24"/>
        </w:rPr>
        <w:t>market</w:t>
      </w:r>
      <w:proofErr w:type="spellEnd"/>
      <w:r w:rsidR="00592BEE" w:rsidRPr="00592BEE">
        <w:rPr>
          <w:rFonts w:ascii="Arial" w:hAnsi="Arial" w:cs="Arial"/>
          <w:sz w:val="24"/>
          <w:szCs w:val="24"/>
        </w:rPr>
        <w:t xml:space="preserve"> and the changes in </w:t>
      </w:r>
      <w:proofErr w:type="spellStart"/>
      <w:r w:rsidR="00592BEE" w:rsidRPr="00592BEE">
        <w:rPr>
          <w:rFonts w:ascii="Arial" w:hAnsi="Arial" w:cs="Arial"/>
          <w:sz w:val="24"/>
          <w:szCs w:val="24"/>
        </w:rPr>
        <w:t>its</w:t>
      </w:r>
      <w:proofErr w:type="spellEnd"/>
      <w:r w:rsidR="00592BEE" w:rsidRPr="00592BEE">
        <w:rPr>
          <w:rFonts w:ascii="Arial" w:hAnsi="Arial" w:cs="Arial"/>
          <w:sz w:val="24"/>
          <w:szCs w:val="24"/>
        </w:rPr>
        <w:t xml:space="preserve"> </w:t>
      </w:r>
      <w:proofErr w:type="spellStart"/>
      <w:r w:rsidR="001B0CCE">
        <w:rPr>
          <w:rFonts w:ascii="Arial" w:hAnsi="Arial" w:cs="Arial"/>
          <w:sz w:val="24"/>
          <w:szCs w:val="24"/>
        </w:rPr>
        <w:t>general</w:t>
      </w:r>
      <w:proofErr w:type="spellEnd"/>
      <w:r w:rsidR="001B0CCE">
        <w:rPr>
          <w:rFonts w:ascii="Arial" w:hAnsi="Arial" w:cs="Arial"/>
          <w:sz w:val="24"/>
          <w:szCs w:val="24"/>
        </w:rPr>
        <w:t xml:space="preserve"> </w:t>
      </w:r>
      <w:proofErr w:type="spellStart"/>
      <w:r w:rsidR="00592BEE" w:rsidRPr="00592BEE">
        <w:rPr>
          <w:rFonts w:ascii="Arial" w:hAnsi="Arial" w:cs="Arial"/>
          <w:sz w:val="24"/>
          <w:szCs w:val="24"/>
        </w:rPr>
        <w:t>capitalist</w:t>
      </w:r>
      <w:proofErr w:type="spellEnd"/>
      <w:r w:rsidR="00592BEE" w:rsidRPr="00592BEE">
        <w:rPr>
          <w:rFonts w:ascii="Arial" w:hAnsi="Arial" w:cs="Arial"/>
          <w:sz w:val="24"/>
          <w:szCs w:val="24"/>
        </w:rPr>
        <w:t xml:space="preserve"> orientations, </w:t>
      </w:r>
      <w:proofErr w:type="spellStart"/>
      <w:r w:rsidR="00592BEE" w:rsidRPr="00592BEE">
        <w:rPr>
          <w:rFonts w:ascii="Arial" w:hAnsi="Arial" w:cs="Arial"/>
          <w:sz w:val="24"/>
          <w:szCs w:val="24"/>
        </w:rPr>
        <w:t>we</w:t>
      </w:r>
      <w:proofErr w:type="spellEnd"/>
      <w:r w:rsidR="00592BEE" w:rsidRPr="00592BEE">
        <w:rPr>
          <w:rFonts w:ascii="Arial" w:hAnsi="Arial" w:cs="Arial"/>
          <w:sz w:val="24"/>
          <w:szCs w:val="24"/>
        </w:rPr>
        <w:t xml:space="preserve"> note the </w:t>
      </w:r>
      <w:proofErr w:type="spellStart"/>
      <w:r w:rsidR="00592BEE" w:rsidRPr="00592BEE">
        <w:rPr>
          <w:rFonts w:ascii="Arial" w:hAnsi="Arial" w:cs="Arial"/>
          <w:sz w:val="24"/>
          <w:szCs w:val="24"/>
        </w:rPr>
        <w:t>interference</w:t>
      </w:r>
      <w:proofErr w:type="spellEnd"/>
      <w:r w:rsidR="00592BEE" w:rsidRPr="00592BEE">
        <w:rPr>
          <w:rFonts w:ascii="Arial" w:hAnsi="Arial" w:cs="Arial"/>
          <w:sz w:val="24"/>
          <w:szCs w:val="24"/>
        </w:rPr>
        <w:t xml:space="preserve"> of </w:t>
      </w:r>
      <w:proofErr w:type="spellStart"/>
      <w:r w:rsidR="00592BEE" w:rsidRPr="00592BEE">
        <w:rPr>
          <w:rFonts w:ascii="Arial" w:hAnsi="Arial" w:cs="Arial"/>
          <w:sz w:val="24"/>
          <w:szCs w:val="24"/>
        </w:rPr>
        <w:t>institutional</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investors</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Unfamiliar</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with</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this</w:t>
      </w:r>
      <w:proofErr w:type="spellEnd"/>
      <w:r w:rsidR="00592BEE" w:rsidRPr="00592BEE">
        <w:rPr>
          <w:rFonts w:ascii="Arial" w:hAnsi="Arial" w:cs="Arial"/>
          <w:sz w:val="24"/>
          <w:szCs w:val="24"/>
        </w:rPr>
        <w:t xml:space="preserve"> new type of </w:t>
      </w:r>
      <w:proofErr w:type="spellStart"/>
      <w:r w:rsidR="00592BEE" w:rsidRPr="00592BEE">
        <w:rPr>
          <w:rFonts w:ascii="Arial" w:hAnsi="Arial" w:cs="Arial"/>
          <w:sz w:val="24"/>
          <w:szCs w:val="24"/>
        </w:rPr>
        <w:t>shareholder</w:t>
      </w:r>
      <w:r w:rsidR="0057513E">
        <w:rPr>
          <w:rFonts w:ascii="Arial" w:hAnsi="Arial" w:cs="Arial"/>
          <w:sz w:val="24"/>
          <w:szCs w:val="24"/>
        </w:rPr>
        <w:t>s</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some</w:t>
      </w:r>
      <w:proofErr w:type="spellEnd"/>
      <w:r w:rsidR="00592BEE" w:rsidRPr="00592BEE">
        <w:rPr>
          <w:rFonts w:ascii="Arial" w:hAnsi="Arial" w:cs="Arial"/>
          <w:sz w:val="24"/>
          <w:szCs w:val="24"/>
        </w:rPr>
        <w:t xml:space="preserve"> French </w:t>
      </w:r>
      <w:proofErr w:type="spellStart"/>
      <w:r w:rsidR="00592BEE" w:rsidRPr="00592BEE">
        <w:rPr>
          <w:rFonts w:ascii="Arial" w:hAnsi="Arial" w:cs="Arial"/>
          <w:sz w:val="24"/>
          <w:szCs w:val="24"/>
        </w:rPr>
        <w:t>companies</w:t>
      </w:r>
      <w:proofErr w:type="spellEnd"/>
      <w:r w:rsidR="00592BEE" w:rsidRPr="00592BEE">
        <w:rPr>
          <w:rFonts w:ascii="Arial" w:hAnsi="Arial" w:cs="Arial"/>
          <w:sz w:val="24"/>
          <w:szCs w:val="24"/>
        </w:rPr>
        <w:t xml:space="preserve"> </w:t>
      </w:r>
      <w:r w:rsidR="00225E5F">
        <w:rPr>
          <w:rFonts w:ascii="Arial" w:hAnsi="Arial" w:cs="Arial"/>
          <w:sz w:val="24"/>
          <w:szCs w:val="24"/>
        </w:rPr>
        <w:t>have</w:t>
      </w:r>
      <w:r w:rsidR="00592BEE" w:rsidRPr="00592BEE">
        <w:rPr>
          <w:rFonts w:ascii="Arial" w:hAnsi="Arial" w:cs="Arial"/>
          <w:sz w:val="24"/>
          <w:szCs w:val="24"/>
        </w:rPr>
        <w:t xml:space="preserve"> be</w:t>
      </w:r>
      <w:r w:rsidR="00225E5F">
        <w:rPr>
          <w:rFonts w:ascii="Arial" w:hAnsi="Arial" w:cs="Arial"/>
          <w:sz w:val="24"/>
          <w:szCs w:val="24"/>
        </w:rPr>
        <w:t>en</w:t>
      </w:r>
      <w:r w:rsidR="00592BEE" w:rsidRPr="00592BEE">
        <w:rPr>
          <w:rFonts w:ascii="Arial" w:hAnsi="Arial" w:cs="Arial"/>
          <w:sz w:val="24"/>
          <w:szCs w:val="24"/>
        </w:rPr>
        <w:t xml:space="preserve"> </w:t>
      </w:r>
      <w:proofErr w:type="spellStart"/>
      <w:r w:rsidR="00592BEE" w:rsidRPr="00592BEE">
        <w:rPr>
          <w:rFonts w:ascii="Arial" w:hAnsi="Arial" w:cs="Arial"/>
          <w:sz w:val="24"/>
          <w:szCs w:val="24"/>
        </w:rPr>
        <w:t>subject</w:t>
      </w:r>
      <w:proofErr w:type="spellEnd"/>
      <w:r w:rsidR="00592BEE" w:rsidRPr="00592BEE">
        <w:rPr>
          <w:rFonts w:ascii="Arial" w:hAnsi="Arial" w:cs="Arial"/>
          <w:sz w:val="24"/>
          <w:szCs w:val="24"/>
        </w:rPr>
        <w:t xml:space="preserve"> to </w:t>
      </w:r>
      <w:proofErr w:type="spellStart"/>
      <w:r w:rsidR="00592BEE" w:rsidRPr="00592BEE">
        <w:rPr>
          <w:rFonts w:ascii="Arial" w:hAnsi="Arial" w:cs="Arial"/>
          <w:sz w:val="24"/>
          <w:szCs w:val="24"/>
        </w:rPr>
        <w:t>institutional</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activism</w:t>
      </w:r>
      <w:proofErr w:type="spellEnd"/>
      <w:r w:rsidR="00592BEE" w:rsidRPr="00592BEE">
        <w:rPr>
          <w:rFonts w:ascii="Arial" w:hAnsi="Arial" w:cs="Arial"/>
          <w:sz w:val="24"/>
          <w:szCs w:val="24"/>
        </w:rPr>
        <w:t xml:space="preserve"> in </w:t>
      </w:r>
      <w:proofErr w:type="spellStart"/>
      <w:r w:rsidR="00592BEE" w:rsidRPr="00592BEE">
        <w:rPr>
          <w:rFonts w:ascii="Arial" w:hAnsi="Arial" w:cs="Arial"/>
          <w:sz w:val="24"/>
          <w:szCs w:val="24"/>
        </w:rPr>
        <w:t>order</w:t>
      </w:r>
      <w:proofErr w:type="spellEnd"/>
      <w:r w:rsidR="00592BEE" w:rsidRPr="00592BEE">
        <w:rPr>
          <w:rFonts w:ascii="Arial" w:hAnsi="Arial" w:cs="Arial"/>
          <w:sz w:val="24"/>
          <w:szCs w:val="24"/>
        </w:rPr>
        <w:t xml:space="preserve"> to </w:t>
      </w:r>
      <w:proofErr w:type="spellStart"/>
      <w:r w:rsidR="00592BEE" w:rsidRPr="00592BEE">
        <w:rPr>
          <w:rFonts w:ascii="Arial" w:hAnsi="Arial" w:cs="Arial"/>
          <w:sz w:val="24"/>
          <w:szCs w:val="24"/>
        </w:rPr>
        <w:t>review</w:t>
      </w:r>
      <w:proofErr w:type="spellEnd"/>
      <w:r w:rsidR="00592BEE" w:rsidRPr="00592BEE">
        <w:rPr>
          <w:rFonts w:ascii="Arial" w:hAnsi="Arial" w:cs="Arial"/>
          <w:sz w:val="24"/>
          <w:szCs w:val="24"/>
        </w:rPr>
        <w:t xml:space="preserve">, first, </w:t>
      </w:r>
      <w:proofErr w:type="spellStart"/>
      <w:r w:rsidR="00592BEE" w:rsidRPr="00592BEE">
        <w:rPr>
          <w:rFonts w:ascii="Arial" w:hAnsi="Arial" w:cs="Arial"/>
          <w:sz w:val="24"/>
          <w:szCs w:val="24"/>
        </w:rPr>
        <w:t>their</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governance</w:t>
      </w:r>
      <w:proofErr w:type="spellEnd"/>
      <w:r w:rsidR="00592BEE" w:rsidRPr="00592BEE">
        <w:rPr>
          <w:rFonts w:ascii="Arial" w:hAnsi="Arial" w:cs="Arial"/>
          <w:sz w:val="24"/>
          <w:szCs w:val="24"/>
        </w:rPr>
        <w:t xml:space="preserve"> and, second, the </w:t>
      </w:r>
      <w:proofErr w:type="spellStart"/>
      <w:r w:rsidR="00592BEE" w:rsidRPr="00592BEE">
        <w:rPr>
          <w:rFonts w:ascii="Arial" w:hAnsi="Arial" w:cs="Arial"/>
          <w:sz w:val="24"/>
          <w:szCs w:val="24"/>
        </w:rPr>
        <w:t>definition</w:t>
      </w:r>
      <w:proofErr w:type="spellEnd"/>
      <w:r w:rsidR="00592BEE" w:rsidRPr="00592BEE">
        <w:rPr>
          <w:rFonts w:ascii="Arial" w:hAnsi="Arial" w:cs="Arial"/>
          <w:sz w:val="24"/>
          <w:szCs w:val="24"/>
        </w:rPr>
        <w:t xml:space="preserve"> of </w:t>
      </w:r>
      <w:proofErr w:type="spellStart"/>
      <w:r w:rsidR="00592BEE" w:rsidRPr="00592BEE">
        <w:rPr>
          <w:rFonts w:ascii="Arial" w:hAnsi="Arial" w:cs="Arial"/>
          <w:sz w:val="24"/>
          <w:szCs w:val="24"/>
        </w:rPr>
        <w:t>their</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strategic</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perimeters</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While</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institutional</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investors</w:t>
      </w:r>
      <w:proofErr w:type="spellEnd"/>
      <w:r w:rsidR="00592BEE" w:rsidRPr="00592BEE">
        <w:rPr>
          <w:rFonts w:ascii="Arial" w:hAnsi="Arial" w:cs="Arial"/>
          <w:sz w:val="24"/>
          <w:szCs w:val="24"/>
        </w:rPr>
        <w:t xml:space="preserve"> have </w:t>
      </w:r>
      <w:proofErr w:type="spellStart"/>
      <w:r w:rsidR="00592BEE" w:rsidRPr="00592BEE">
        <w:rPr>
          <w:rFonts w:ascii="Arial" w:hAnsi="Arial" w:cs="Arial"/>
          <w:sz w:val="24"/>
          <w:szCs w:val="24"/>
        </w:rPr>
        <w:t>tended</w:t>
      </w:r>
      <w:proofErr w:type="spellEnd"/>
      <w:r w:rsidR="00592BEE" w:rsidRPr="00592BEE">
        <w:rPr>
          <w:rFonts w:ascii="Arial" w:hAnsi="Arial" w:cs="Arial"/>
          <w:sz w:val="24"/>
          <w:szCs w:val="24"/>
        </w:rPr>
        <w:t xml:space="preserve"> to position </w:t>
      </w:r>
      <w:proofErr w:type="spellStart"/>
      <w:r w:rsidR="00592BEE" w:rsidRPr="00592BEE">
        <w:rPr>
          <w:rFonts w:ascii="Arial" w:hAnsi="Arial" w:cs="Arial"/>
          <w:sz w:val="24"/>
          <w:szCs w:val="24"/>
        </w:rPr>
        <w:t>themselves</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within</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permeable</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property</w:t>
      </w:r>
      <w:proofErr w:type="spellEnd"/>
      <w:r w:rsidR="00592BEE" w:rsidRPr="00592BEE">
        <w:rPr>
          <w:rFonts w:ascii="Arial" w:hAnsi="Arial" w:cs="Arial"/>
          <w:sz w:val="24"/>
          <w:szCs w:val="24"/>
        </w:rPr>
        <w:t xml:space="preserve"> structures in </w:t>
      </w:r>
      <w:proofErr w:type="spellStart"/>
      <w:r w:rsidR="00592BEE" w:rsidRPr="00592BEE">
        <w:rPr>
          <w:rFonts w:ascii="Arial" w:hAnsi="Arial" w:cs="Arial"/>
          <w:sz w:val="24"/>
          <w:szCs w:val="24"/>
        </w:rPr>
        <w:t>which</w:t>
      </w:r>
      <w:proofErr w:type="spellEnd"/>
      <w:r w:rsidR="00592BEE" w:rsidRPr="00592BEE">
        <w:rPr>
          <w:rFonts w:ascii="Arial" w:hAnsi="Arial" w:cs="Arial"/>
          <w:sz w:val="24"/>
          <w:szCs w:val="24"/>
        </w:rPr>
        <w:t xml:space="preserve"> the </w:t>
      </w:r>
      <w:proofErr w:type="spellStart"/>
      <w:r w:rsidR="00592BEE" w:rsidRPr="00592BEE">
        <w:rPr>
          <w:rFonts w:ascii="Arial" w:hAnsi="Arial" w:cs="Arial"/>
          <w:sz w:val="24"/>
          <w:szCs w:val="24"/>
        </w:rPr>
        <w:t>shareholder</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neighborhood</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was</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acquired</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they</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also</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take</w:t>
      </w:r>
      <w:proofErr w:type="spellEnd"/>
      <w:r w:rsidR="00592BEE" w:rsidRPr="00592BEE">
        <w:rPr>
          <w:rFonts w:ascii="Arial" w:hAnsi="Arial" w:cs="Arial"/>
          <w:sz w:val="24"/>
          <w:szCs w:val="24"/>
        </w:rPr>
        <w:t xml:space="preserve"> a position </w:t>
      </w:r>
      <w:proofErr w:type="spellStart"/>
      <w:r w:rsidR="00592BEE" w:rsidRPr="00592BEE">
        <w:rPr>
          <w:rFonts w:ascii="Arial" w:hAnsi="Arial" w:cs="Arial"/>
          <w:sz w:val="24"/>
          <w:szCs w:val="24"/>
        </w:rPr>
        <w:t>within</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companies</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with</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family</w:t>
      </w:r>
      <w:proofErr w:type="spellEnd"/>
      <w:r w:rsidR="00592BEE" w:rsidRPr="00592BEE">
        <w:rPr>
          <w:rFonts w:ascii="Arial" w:hAnsi="Arial" w:cs="Arial"/>
          <w:sz w:val="24"/>
          <w:szCs w:val="24"/>
        </w:rPr>
        <w:t xml:space="preserve"> contours. By </w:t>
      </w:r>
      <w:proofErr w:type="spellStart"/>
      <w:r w:rsidR="00592BEE" w:rsidRPr="00592BEE">
        <w:rPr>
          <w:rFonts w:ascii="Arial" w:hAnsi="Arial" w:cs="Arial"/>
          <w:sz w:val="24"/>
          <w:szCs w:val="24"/>
        </w:rPr>
        <w:t>considering</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two</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companies</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characterized</w:t>
      </w:r>
      <w:proofErr w:type="spellEnd"/>
      <w:r w:rsidR="00592BEE" w:rsidRPr="00592BEE">
        <w:rPr>
          <w:rFonts w:ascii="Arial" w:hAnsi="Arial" w:cs="Arial"/>
          <w:sz w:val="24"/>
          <w:szCs w:val="24"/>
        </w:rPr>
        <w:t xml:space="preserve"> by </w:t>
      </w:r>
      <w:proofErr w:type="spellStart"/>
      <w:r w:rsidR="00592BEE" w:rsidRPr="00592BEE">
        <w:rPr>
          <w:rFonts w:ascii="Arial" w:hAnsi="Arial" w:cs="Arial"/>
          <w:sz w:val="24"/>
          <w:szCs w:val="24"/>
        </w:rPr>
        <w:t>different</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ownership</w:t>
      </w:r>
      <w:proofErr w:type="spellEnd"/>
      <w:r w:rsidR="00592BEE" w:rsidRPr="00592BEE">
        <w:rPr>
          <w:rFonts w:ascii="Arial" w:hAnsi="Arial" w:cs="Arial"/>
          <w:sz w:val="24"/>
          <w:szCs w:val="24"/>
        </w:rPr>
        <w:t xml:space="preserve"> structures (</w:t>
      </w:r>
      <w:r w:rsidR="005041C3">
        <w:rPr>
          <w:rFonts w:ascii="Arial" w:hAnsi="Arial" w:cs="Arial"/>
          <w:sz w:val="24"/>
          <w:szCs w:val="24"/>
        </w:rPr>
        <w:t xml:space="preserve">an </w:t>
      </w:r>
      <w:r w:rsidR="00592BEE" w:rsidRPr="00592BEE">
        <w:rPr>
          <w:rFonts w:ascii="Arial" w:hAnsi="Arial" w:cs="Arial"/>
          <w:sz w:val="24"/>
          <w:szCs w:val="24"/>
        </w:rPr>
        <w:t xml:space="preserve">open </w:t>
      </w:r>
      <w:r w:rsidR="005041C3">
        <w:rPr>
          <w:rFonts w:ascii="Arial" w:hAnsi="Arial" w:cs="Arial"/>
          <w:sz w:val="24"/>
          <w:szCs w:val="24"/>
        </w:rPr>
        <w:t xml:space="preserve">one </w:t>
      </w:r>
      <w:r w:rsidR="00592BEE" w:rsidRPr="00592BEE">
        <w:rPr>
          <w:rFonts w:ascii="Arial" w:hAnsi="Arial" w:cs="Arial"/>
          <w:sz w:val="24"/>
          <w:szCs w:val="24"/>
        </w:rPr>
        <w:t xml:space="preserve">and the </w:t>
      </w:r>
      <w:proofErr w:type="spellStart"/>
      <w:r w:rsidR="005041C3">
        <w:rPr>
          <w:rFonts w:ascii="Arial" w:hAnsi="Arial" w:cs="Arial"/>
          <w:sz w:val="24"/>
          <w:szCs w:val="24"/>
        </w:rPr>
        <w:t>ano</w:t>
      </w:r>
      <w:r w:rsidR="00592BEE" w:rsidRPr="00592BEE">
        <w:rPr>
          <w:rFonts w:ascii="Arial" w:hAnsi="Arial" w:cs="Arial"/>
          <w:sz w:val="24"/>
          <w:szCs w:val="24"/>
        </w:rPr>
        <w:t>ther</w:t>
      </w:r>
      <w:proofErr w:type="spellEnd"/>
      <w:r w:rsidR="005041C3">
        <w:rPr>
          <w:rFonts w:ascii="Arial" w:hAnsi="Arial" w:cs="Arial"/>
          <w:sz w:val="24"/>
          <w:szCs w:val="24"/>
        </w:rPr>
        <w:t xml:space="preserve"> on</w:t>
      </w:r>
      <w:r w:rsidR="00A52DDA">
        <w:rPr>
          <w:rFonts w:ascii="Arial" w:hAnsi="Arial" w:cs="Arial"/>
          <w:sz w:val="24"/>
          <w:szCs w:val="24"/>
        </w:rPr>
        <w:t>e</w:t>
      </w:r>
      <w:r w:rsidR="00592BEE" w:rsidRPr="00592BEE">
        <w:rPr>
          <w:rFonts w:ascii="Arial" w:hAnsi="Arial" w:cs="Arial"/>
          <w:sz w:val="24"/>
          <w:szCs w:val="24"/>
        </w:rPr>
        <w:t xml:space="preserve"> </w:t>
      </w:r>
      <w:proofErr w:type="spellStart"/>
      <w:r w:rsidR="00592BEE" w:rsidRPr="00592BEE">
        <w:rPr>
          <w:rFonts w:ascii="Arial" w:hAnsi="Arial" w:cs="Arial"/>
          <w:sz w:val="24"/>
          <w:szCs w:val="24"/>
        </w:rPr>
        <w:t>apparently</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locked</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we</w:t>
      </w:r>
      <w:proofErr w:type="spellEnd"/>
      <w:r w:rsidR="00592BEE" w:rsidRPr="00592BEE">
        <w:rPr>
          <w:rFonts w:ascii="Arial" w:hAnsi="Arial" w:cs="Arial"/>
          <w:sz w:val="24"/>
          <w:szCs w:val="24"/>
        </w:rPr>
        <w:t xml:space="preserve"> observe a </w:t>
      </w:r>
      <w:proofErr w:type="spellStart"/>
      <w:r w:rsidR="00592BEE" w:rsidRPr="00592BEE">
        <w:rPr>
          <w:rFonts w:ascii="Arial" w:hAnsi="Arial" w:cs="Arial"/>
          <w:sz w:val="24"/>
          <w:szCs w:val="24"/>
        </w:rPr>
        <w:t>uniformity</w:t>
      </w:r>
      <w:proofErr w:type="spellEnd"/>
      <w:r w:rsidR="00592BEE" w:rsidRPr="00592BEE">
        <w:rPr>
          <w:rFonts w:ascii="Arial" w:hAnsi="Arial" w:cs="Arial"/>
          <w:sz w:val="24"/>
          <w:szCs w:val="24"/>
        </w:rPr>
        <w:t xml:space="preserve"> of </w:t>
      </w:r>
      <w:proofErr w:type="spellStart"/>
      <w:r w:rsidR="00592BEE" w:rsidRPr="00592BEE">
        <w:rPr>
          <w:rFonts w:ascii="Arial" w:hAnsi="Arial" w:cs="Arial"/>
          <w:sz w:val="24"/>
          <w:szCs w:val="24"/>
        </w:rPr>
        <w:t>institutional</w:t>
      </w:r>
      <w:proofErr w:type="spellEnd"/>
      <w:r w:rsidR="00592BEE" w:rsidRPr="00592BEE">
        <w:rPr>
          <w:rFonts w:ascii="Arial" w:hAnsi="Arial" w:cs="Arial"/>
          <w:sz w:val="24"/>
          <w:szCs w:val="24"/>
        </w:rPr>
        <w:t xml:space="preserve"> </w:t>
      </w:r>
      <w:proofErr w:type="spellStart"/>
      <w:r w:rsidR="00592BEE" w:rsidRPr="00592BEE">
        <w:rPr>
          <w:rFonts w:ascii="Arial" w:hAnsi="Arial" w:cs="Arial"/>
          <w:sz w:val="24"/>
          <w:szCs w:val="24"/>
        </w:rPr>
        <w:t>interventionism</w:t>
      </w:r>
      <w:proofErr w:type="spellEnd"/>
      <w:r w:rsidR="00592BEE" w:rsidRPr="00592BEE">
        <w:rPr>
          <w:rFonts w:ascii="Arial" w:hAnsi="Arial" w:cs="Arial"/>
          <w:sz w:val="24"/>
          <w:szCs w:val="24"/>
        </w:rPr>
        <w:t xml:space="preserve"> and </w:t>
      </w:r>
      <w:proofErr w:type="spellStart"/>
      <w:r w:rsidR="00592BEE" w:rsidRPr="00592BEE">
        <w:rPr>
          <w:rFonts w:ascii="Arial" w:hAnsi="Arial" w:cs="Arial"/>
          <w:sz w:val="24"/>
          <w:szCs w:val="24"/>
        </w:rPr>
        <w:t>activism</w:t>
      </w:r>
      <w:proofErr w:type="spellEnd"/>
      <w:r w:rsidR="00592BEE" w:rsidRPr="00592BEE">
        <w:rPr>
          <w:rFonts w:ascii="Arial" w:hAnsi="Arial" w:cs="Arial"/>
          <w:sz w:val="24"/>
          <w:szCs w:val="24"/>
        </w:rPr>
        <w:t>.</w:t>
      </w:r>
    </w:p>
    <w:p w14:paraId="31D95B7E" w14:textId="0E899208" w:rsidR="00714C2C" w:rsidRPr="00B33E99" w:rsidRDefault="00714C2C" w:rsidP="005C2A31">
      <w:pPr>
        <w:pStyle w:val="Paragraphedeliste"/>
        <w:numPr>
          <w:ilvl w:val="0"/>
          <w:numId w:val="1"/>
        </w:numPr>
        <w:spacing w:line="240" w:lineRule="auto"/>
        <w:jc w:val="both"/>
        <w:rPr>
          <w:rFonts w:ascii="Arial" w:hAnsi="Arial" w:cs="Arial"/>
          <w:sz w:val="28"/>
          <w:szCs w:val="28"/>
          <w:u w:val="single"/>
        </w:rPr>
      </w:pPr>
      <w:r w:rsidRPr="00B33E99">
        <w:rPr>
          <w:rFonts w:ascii="Arial" w:hAnsi="Arial" w:cs="Arial"/>
          <w:sz w:val="28"/>
          <w:szCs w:val="28"/>
          <w:u w:val="single"/>
        </w:rPr>
        <w:t>Introduction – motivations de la recherche</w:t>
      </w:r>
    </w:p>
    <w:p w14:paraId="44D711A3" w14:textId="5F503C0C" w:rsidR="00B33E99" w:rsidRPr="004902A0" w:rsidRDefault="00657501" w:rsidP="004902A0">
      <w:pPr>
        <w:spacing w:line="240" w:lineRule="auto"/>
        <w:ind w:left="708"/>
        <w:jc w:val="both"/>
        <w:rPr>
          <w:rFonts w:ascii="Arial" w:hAnsi="Arial" w:cs="Arial"/>
          <w:sz w:val="24"/>
          <w:szCs w:val="24"/>
        </w:rPr>
      </w:pPr>
      <w:r w:rsidRPr="005C2A31">
        <w:rPr>
          <w:rFonts w:ascii="Arial" w:hAnsi="Arial" w:cs="Arial"/>
          <w:sz w:val="24"/>
          <w:szCs w:val="24"/>
        </w:rPr>
        <w:t xml:space="preserve">Si les investisseurs </w:t>
      </w:r>
      <w:r w:rsidR="002E1520" w:rsidRPr="005C2A31">
        <w:rPr>
          <w:rFonts w:ascii="Arial" w:hAnsi="Arial" w:cs="Arial"/>
          <w:sz w:val="24"/>
          <w:szCs w:val="24"/>
        </w:rPr>
        <w:t xml:space="preserve">institutionnels </w:t>
      </w:r>
      <w:r w:rsidRPr="005C2A31">
        <w:rPr>
          <w:rFonts w:ascii="Arial" w:hAnsi="Arial" w:cs="Arial"/>
          <w:sz w:val="24"/>
          <w:szCs w:val="24"/>
        </w:rPr>
        <w:t>constituent une nouvelle donnée capitalistique</w:t>
      </w:r>
      <w:r w:rsidR="00172ECF" w:rsidRPr="005C2A31">
        <w:rPr>
          <w:rFonts w:ascii="Arial" w:hAnsi="Arial" w:cs="Arial"/>
          <w:sz w:val="24"/>
          <w:szCs w:val="24"/>
        </w:rPr>
        <w:t xml:space="preserve"> dans les structures de propriété des entreprises, il n’en demeure pas moins une difficulté de </w:t>
      </w:r>
      <w:r w:rsidR="006933A6" w:rsidRPr="005C2A31">
        <w:rPr>
          <w:rFonts w:ascii="Arial" w:hAnsi="Arial" w:cs="Arial"/>
          <w:sz w:val="24"/>
          <w:szCs w:val="24"/>
        </w:rPr>
        <w:t xml:space="preserve">mesure de leur influence </w:t>
      </w:r>
      <w:r w:rsidR="002E1520" w:rsidRPr="005C2A31">
        <w:rPr>
          <w:rFonts w:ascii="Arial" w:hAnsi="Arial" w:cs="Arial"/>
          <w:sz w:val="24"/>
          <w:szCs w:val="24"/>
        </w:rPr>
        <w:t xml:space="preserve">réelle </w:t>
      </w:r>
      <w:r w:rsidR="006933A6" w:rsidRPr="005C2A31">
        <w:rPr>
          <w:rFonts w:ascii="Arial" w:hAnsi="Arial" w:cs="Arial"/>
          <w:sz w:val="24"/>
          <w:szCs w:val="24"/>
        </w:rPr>
        <w:t>sur les styles de gestion et de gouvernance des entreprises</w:t>
      </w:r>
      <w:r w:rsidR="005C2A31" w:rsidRPr="005C2A31">
        <w:rPr>
          <w:rFonts w:ascii="Arial" w:hAnsi="Arial" w:cs="Arial"/>
          <w:sz w:val="24"/>
          <w:szCs w:val="24"/>
        </w:rPr>
        <w:t xml:space="preserve"> sous contrôle.</w:t>
      </w:r>
      <w:r w:rsidR="005C2A31">
        <w:rPr>
          <w:rFonts w:ascii="Arial" w:hAnsi="Arial" w:cs="Arial"/>
          <w:sz w:val="24"/>
          <w:szCs w:val="24"/>
        </w:rPr>
        <w:t xml:space="preserve"> </w:t>
      </w:r>
      <w:r w:rsidR="00E3183A">
        <w:rPr>
          <w:rFonts w:ascii="Arial" w:hAnsi="Arial" w:cs="Arial"/>
          <w:sz w:val="24"/>
          <w:szCs w:val="24"/>
        </w:rPr>
        <w:t>Alors que l</w:t>
      </w:r>
      <w:r w:rsidR="00022E6D">
        <w:rPr>
          <w:rFonts w:ascii="Arial" w:hAnsi="Arial" w:cs="Arial"/>
          <w:sz w:val="24"/>
          <w:szCs w:val="24"/>
        </w:rPr>
        <w:t>es marchés français ont longtemps ét</w:t>
      </w:r>
      <w:r w:rsidR="001D7FCC">
        <w:rPr>
          <w:rFonts w:ascii="Arial" w:hAnsi="Arial" w:cs="Arial"/>
          <w:sz w:val="24"/>
          <w:szCs w:val="24"/>
        </w:rPr>
        <w:t>é peu perméables à ce type d’actionnariat</w:t>
      </w:r>
      <w:r w:rsidR="00542E42">
        <w:rPr>
          <w:rFonts w:ascii="Arial" w:hAnsi="Arial" w:cs="Arial"/>
          <w:sz w:val="24"/>
          <w:szCs w:val="24"/>
        </w:rPr>
        <w:t xml:space="preserve">, </w:t>
      </w:r>
      <w:r w:rsidR="00E3183A">
        <w:rPr>
          <w:rFonts w:ascii="Arial" w:hAnsi="Arial" w:cs="Arial"/>
          <w:sz w:val="24"/>
          <w:szCs w:val="24"/>
        </w:rPr>
        <w:t xml:space="preserve">les investisseurs institutionnels ont </w:t>
      </w:r>
      <w:r w:rsidR="00364644">
        <w:rPr>
          <w:rFonts w:ascii="Arial" w:hAnsi="Arial" w:cs="Arial"/>
          <w:sz w:val="24"/>
          <w:szCs w:val="24"/>
        </w:rPr>
        <w:t xml:space="preserve">eu </w:t>
      </w:r>
      <w:r w:rsidR="00E3183A">
        <w:rPr>
          <w:rFonts w:ascii="Arial" w:hAnsi="Arial" w:cs="Arial"/>
          <w:sz w:val="24"/>
          <w:szCs w:val="24"/>
        </w:rPr>
        <w:t xml:space="preserve">tendance </w:t>
      </w:r>
      <w:r w:rsidR="008568FF">
        <w:rPr>
          <w:rFonts w:ascii="Arial" w:hAnsi="Arial" w:cs="Arial"/>
          <w:sz w:val="24"/>
          <w:szCs w:val="24"/>
        </w:rPr>
        <w:t xml:space="preserve">– principalement </w:t>
      </w:r>
      <w:r w:rsidR="00364644">
        <w:rPr>
          <w:rFonts w:ascii="Arial" w:hAnsi="Arial" w:cs="Arial"/>
          <w:sz w:val="24"/>
          <w:szCs w:val="24"/>
        </w:rPr>
        <w:t>à partir des années 2000</w:t>
      </w:r>
      <w:r w:rsidR="008568FF">
        <w:rPr>
          <w:rFonts w:ascii="Arial" w:hAnsi="Arial" w:cs="Arial"/>
          <w:sz w:val="24"/>
          <w:szCs w:val="24"/>
        </w:rPr>
        <w:t xml:space="preserve"> - </w:t>
      </w:r>
      <w:r w:rsidR="00E3183A">
        <w:rPr>
          <w:rFonts w:ascii="Arial" w:hAnsi="Arial" w:cs="Arial"/>
          <w:sz w:val="24"/>
          <w:szCs w:val="24"/>
        </w:rPr>
        <w:t>à se positionner de manière importante</w:t>
      </w:r>
      <w:r w:rsidR="00AA537D">
        <w:rPr>
          <w:rFonts w:ascii="Arial" w:hAnsi="Arial" w:cs="Arial"/>
          <w:sz w:val="24"/>
          <w:szCs w:val="24"/>
        </w:rPr>
        <w:t xml:space="preserve"> dans le capital des entreprises françaises.</w:t>
      </w:r>
      <w:r w:rsidR="00817E20">
        <w:rPr>
          <w:rFonts w:ascii="Arial" w:hAnsi="Arial" w:cs="Arial"/>
          <w:sz w:val="24"/>
          <w:szCs w:val="24"/>
        </w:rPr>
        <w:t xml:space="preserve"> </w:t>
      </w:r>
      <w:r w:rsidR="00EC1273">
        <w:rPr>
          <w:rFonts w:ascii="Arial" w:hAnsi="Arial" w:cs="Arial"/>
          <w:sz w:val="24"/>
          <w:szCs w:val="24"/>
        </w:rPr>
        <w:t xml:space="preserve">Cet état de fait </w:t>
      </w:r>
      <w:r w:rsidR="002C2B75">
        <w:rPr>
          <w:rFonts w:ascii="Arial" w:hAnsi="Arial" w:cs="Arial"/>
          <w:sz w:val="24"/>
          <w:szCs w:val="24"/>
        </w:rPr>
        <w:t xml:space="preserve">s’explique par </w:t>
      </w:r>
      <w:r w:rsidR="00E10875">
        <w:rPr>
          <w:rFonts w:ascii="Arial" w:hAnsi="Arial" w:cs="Arial"/>
          <w:sz w:val="24"/>
          <w:szCs w:val="24"/>
        </w:rPr>
        <w:t>des trous d’air capitalistique</w:t>
      </w:r>
      <w:r w:rsidR="00ED00A7">
        <w:rPr>
          <w:rFonts w:ascii="Arial" w:hAnsi="Arial" w:cs="Arial"/>
          <w:sz w:val="24"/>
          <w:szCs w:val="24"/>
        </w:rPr>
        <w:t xml:space="preserve"> consécutifs à </w:t>
      </w:r>
      <w:r w:rsidR="002C2B75">
        <w:rPr>
          <w:rFonts w:ascii="Arial" w:hAnsi="Arial" w:cs="Arial"/>
          <w:sz w:val="24"/>
          <w:szCs w:val="24"/>
        </w:rPr>
        <w:t xml:space="preserve">un dénoyautage des structures de propriété de l’économie réelle </w:t>
      </w:r>
      <w:r w:rsidR="00ED00A7">
        <w:rPr>
          <w:rFonts w:ascii="Arial" w:hAnsi="Arial" w:cs="Arial"/>
          <w:sz w:val="24"/>
          <w:szCs w:val="24"/>
        </w:rPr>
        <w:t xml:space="preserve">et à </w:t>
      </w:r>
      <w:r w:rsidR="002C2B75">
        <w:rPr>
          <w:rFonts w:ascii="Arial" w:hAnsi="Arial" w:cs="Arial"/>
          <w:sz w:val="24"/>
          <w:szCs w:val="24"/>
        </w:rPr>
        <w:t>une poussé</w:t>
      </w:r>
      <w:r w:rsidR="00AA64D2">
        <w:rPr>
          <w:rFonts w:ascii="Arial" w:hAnsi="Arial" w:cs="Arial"/>
          <w:sz w:val="24"/>
          <w:szCs w:val="24"/>
        </w:rPr>
        <w:t>e</w:t>
      </w:r>
      <w:r w:rsidR="002C2B75">
        <w:rPr>
          <w:rFonts w:ascii="Arial" w:hAnsi="Arial" w:cs="Arial"/>
          <w:sz w:val="24"/>
          <w:szCs w:val="24"/>
        </w:rPr>
        <w:t xml:space="preserve"> quasiment </w:t>
      </w:r>
      <w:r w:rsidR="00AA64D2">
        <w:rPr>
          <w:rFonts w:ascii="Arial" w:hAnsi="Arial" w:cs="Arial"/>
          <w:sz w:val="24"/>
          <w:szCs w:val="24"/>
        </w:rPr>
        <w:t xml:space="preserve">philosophique vers un processus généralisé de mondialisation. </w:t>
      </w:r>
      <w:r w:rsidR="002E275F">
        <w:rPr>
          <w:rFonts w:ascii="Arial" w:hAnsi="Arial" w:cs="Arial"/>
          <w:sz w:val="24"/>
          <w:szCs w:val="24"/>
        </w:rPr>
        <w:t xml:space="preserve">Si </w:t>
      </w:r>
      <w:r w:rsidR="004C62FB">
        <w:rPr>
          <w:rFonts w:ascii="Arial" w:hAnsi="Arial" w:cs="Arial"/>
          <w:sz w:val="24"/>
          <w:szCs w:val="24"/>
        </w:rPr>
        <w:t xml:space="preserve">la place boursière </w:t>
      </w:r>
      <w:r w:rsidR="007707AA">
        <w:rPr>
          <w:rFonts w:ascii="Arial" w:hAnsi="Arial" w:cs="Arial"/>
          <w:sz w:val="24"/>
          <w:szCs w:val="24"/>
        </w:rPr>
        <w:t xml:space="preserve">parisienne </w:t>
      </w:r>
      <w:r w:rsidR="00061A6D">
        <w:rPr>
          <w:rFonts w:ascii="Arial" w:hAnsi="Arial" w:cs="Arial"/>
          <w:sz w:val="24"/>
          <w:szCs w:val="24"/>
        </w:rPr>
        <w:t>posséd</w:t>
      </w:r>
      <w:r w:rsidR="004C62FB">
        <w:rPr>
          <w:rFonts w:ascii="Arial" w:hAnsi="Arial" w:cs="Arial"/>
          <w:sz w:val="24"/>
          <w:szCs w:val="24"/>
        </w:rPr>
        <w:t xml:space="preserve">ait </w:t>
      </w:r>
      <w:r w:rsidR="00166A08">
        <w:rPr>
          <w:rFonts w:ascii="Arial" w:hAnsi="Arial" w:cs="Arial"/>
          <w:sz w:val="24"/>
          <w:szCs w:val="24"/>
        </w:rPr>
        <w:t xml:space="preserve">une </w:t>
      </w:r>
      <w:r w:rsidR="00166A08">
        <w:rPr>
          <w:rFonts w:ascii="Arial" w:hAnsi="Arial" w:cs="Arial"/>
          <w:sz w:val="24"/>
          <w:szCs w:val="24"/>
        </w:rPr>
        <w:lastRenderedPageBreak/>
        <w:t>connaissance relativement précise d</w:t>
      </w:r>
      <w:r w:rsidR="004C62FB">
        <w:rPr>
          <w:rFonts w:ascii="Arial" w:hAnsi="Arial" w:cs="Arial"/>
          <w:sz w:val="24"/>
          <w:szCs w:val="24"/>
        </w:rPr>
        <w:t xml:space="preserve">es </w:t>
      </w:r>
      <w:r w:rsidR="002A214A">
        <w:rPr>
          <w:rFonts w:ascii="Arial" w:hAnsi="Arial" w:cs="Arial"/>
          <w:sz w:val="24"/>
          <w:szCs w:val="24"/>
        </w:rPr>
        <w:t>routines</w:t>
      </w:r>
      <w:r w:rsidR="004C62FB">
        <w:rPr>
          <w:rFonts w:ascii="Arial" w:hAnsi="Arial" w:cs="Arial"/>
          <w:sz w:val="24"/>
          <w:szCs w:val="24"/>
        </w:rPr>
        <w:t xml:space="preserve"> de fonctionnement des </w:t>
      </w:r>
      <w:r w:rsidR="002E275F">
        <w:rPr>
          <w:rFonts w:ascii="Arial" w:hAnsi="Arial" w:cs="Arial"/>
          <w:sz w:val="24"/>
          <w:szCs w:val="24"/>
        </w:rPr>
        <w:t>investisseurs institutionnels nationaux</w:t>
      </w:r>
      <w:r w:rsidR="007707AA">
        <w:rPr>
          <w:rFonts w:ascii="Arial" w:hAnsi="Arial" w:cs="Arial"/>
          <w:sz w:val="24"/>
          <w:szCs w:val="24"/>
        </w:rPr>
        <w:t xml:space="preserve"> (du fait d’une imbrication forte dans des réseaux noués de longue date),</w:t>
      </w:r>
      <w:r w:rsidR="002A214A">
        <w:rPr>
          <w:rFonts w:ascii="Arial" w:hAnsi="Arial" w:cs="Arial"/>
          <w:sz w:val="24"/>
          <w:szCs w:val="24"/>
        </w:rPr>
        <w:t xml:space="preserve"> ce n’était pas nécessairement le cas pour des investisseurs instit</w:t>
      </w:r>
      <w:r w:rsidR="00834D6B">
        <w:rPr>
          <w:rFonts w:ascii="Arial" w:hAnsi="Arial" w:cs="Arial"/>
          <w:sz w:val="24"/>
          <w:szCs w:val="24"/>
        </w:rPr>
        <w:t>utionnels étrangers</w:t>
      </w:r>
      <w:r w:rsidR="00E40230">
        <w:rPr>
          <w:rFonts w:ascii="Arial" w:hAnsi="Arial" w:cs="Arial"/>
          <w:sz w:val="24"/>
          <w:szCs w:val="24"/>
        </w:rPr>
        <w:t xml:space="preserve"> dont l’</w:t>
      </w:r>
      <w:r w:rsidR="00F2037F">
        <w:rPr>
          <w:rFonts w:ascii="Arial" w:hAnsi="Arial" w:cs="Arial"/>
          <w:sz w:val="24"/>
          <w:szCs w:val="24"/>
        </w:rPr>
        <w:t>intrusion était considérée avec beaucoup de circonspection</w:t>
      </w:r>
      <w:r w:rsidR="00662C20">
        <w:rPr>
          <w:rFonts w:ascii="Arial" w:hAnsi="Arial" w:cs="Arial"/>
          <w:sz w:val="24"/>
          <w:szCs w:val="24"/>
        </w:rPr>
        <w:t xml:space="preserve"> et de méfiance</w:t>
      </w:r>
      <w:r w:rsidR="009B26CB">
        <w:rPr>
          <w:rFonts w:ascii="Arial" w:hAnsi="Arial" w:cs="Arial"/>
          <w:sz w:val="24"/>
          <w:szCs w:val="24"/>
        </w:rPr>
        <w:t xml:space="preserve"> par les acteurs locaux.</w:t>
      </w:r>
      <w:r w:rsidR="00834D6B">
        <w:rPr>
          <w:rFonts w:ascii="Arial" w:hAnsi="Arial" w:cs="Arial"/>
          <w:sz w:val="24"/>
          <w:szCs w:val="24"/>
        </w:rPr>
        <w:t xml:space="preserve"> </w:t>
      </w:r>
      <w:r w:rsidR="003C504A">
        <w:rPr>
          <w:rFonts w:ascii="Arial" w:hAnsi="Arial" w:cs="Arial"/>
          <w:sz w:val="24"/>
          <w:szCs w:val="24"/>
        </w:rPr>
        <w:t xml:space="preserve">Les investisseurs institutionnels étrangers (notamment anglo-saxons) </w:t>
      </w:r>
      <w:r w:rsidR="0038379F">
        <w:rPr>
          <w:rFonts w:ascii="Arial" w:hAnsi="Arial" w:cs="Arial"/>
          <w:sz w:val="24"/>
          <w:szCs w:val="24"/>
        </w:rPr>
        <w:t xml:space="preserve">se sont donc positionnés dans des univers capitalistiques peu connus (si ce n’est une perception d’une sous-estimation boursière), réfractaires et potentiellement peu perméables à certaines approches discursives orientées </w:t>
      </w:r>
      <w:r w:rsidR="005D1504">
        <w:rPr>
          <w:rFonts w:ascii="Arial" w:hAnsi="Arial" w:cs="Arial"/>
          <w:sz w:val="24"/>
          <w:szCs w:val="24"/>
        </w:rPr>
        <w:t>renouvèlement des contours stratégiques de l’entreprise.</w:t>
      </w:r>
      <w:r w:rsidR="0038379F">
        <w:rPr>
          <w:rFonts w:ascii="Arial" w:hAnsi="Arial" w:cs="Arial"/>
          <w:sz w:val="24"/>
          <w:szCs w:val="24"/>
        </w:rPr>
        <w:t xml:space="preserve"> </w:t>
      </w:r>
      <w:r w:rsidR="00817E20">
        <w:rPr>
          <w:rFonts w:ascii="Arial" w:hAnsi="Arial" w:cs="Arial"/>
          <w:sz w:val="24"/>
          <w:szCs w:val="24"/>
        </w:rPr>
        <w:t>Dans certains cas, leurs niveaux de participation</w:t>
      </w:r>
      <w:r w:rsidR="00594EF0">
        <w:rPr>
          <w:rFonts w:ascii="Arial" w:hAnsi="Arial" w:cs="Arial"/>
          <w:sz w:val="24"/>
          <w:szCs w:val="24"/>
        </w:rPr>
        <w:t>s</w:t>
      </w:r>
      <w:r w:rsidR="00817E20">
        <w:rPr>
          <w:rFonts w:ascii="Arial" w:hAnsi="Arial" w:cs="Arial"/>
          <w:sz w:val="24"/>
          <w:szCs w:val="24"/>
        </w:rPr>
        <w:t xml:space="preserve"> </w:t>
      </w:r>
      <w:r w:rsidR="005D1504">
        <w:rPr>
          <w:rFonts w:ascii="Arial" w:hAnsi="Arial" w:cs="Arial"/>
          <w:sz w:val="24"/>
          <w:szCs w:val="24"/>
        </w:rPr>
        <w:t xml:space="preserve">ont </w:t>
      </w:r>
      <w:r w:rsidR="00817E20">
        <w:rPr>
          <w:rFonts w:ascii="Arial" w:hAnsi="Arial" w:cs="Arial"/>
          <w:sz w:val="24"/>
          <w:szCs w:val="24"/>
        </w:rPr>
        <w:t>légitim</w:t>
      </w:r>
      <w:r w:rsidR="005D1504">
        <w:rPr>
          <w:rFonts w:ascii="Arial" w:hAnsi="Arial" w:cs="Arial"/>
          <w:sz w:val="24"/>
          <w:szCs w:val="24"/>
        </w:rPr>
        <w:t>é</w:t>
      </w:r>
      <w:r w:rsidR="00817E20">
        <w:rPr>
          <w:rFonts w:ascii="Arial" w:hAnsi="Arial" w:cs="Arial"/>
          <w:sz w:val="24"/>
          <w:szCs w:val="24"/>
        </w:rPr>
        <w:t xml:space="preserve"> </w:t>
      </w:r>
      <w:r w:rsidR="007140E7">
        <w:rPr>
          <w:rFonts w:ascii="Arial" w:hAnsi="Arial" w:cs="Arial"/>
          <w:sz w:val="24"/>
          <w:szCs w:val="24"/>
        </w:rPr>
        <w:t xml:space="preserve">(ou ils </w:t>
      </w:r>
      <w:r w:rsidR="005D1504">
        <w:rPr>
          <w:rFonts w:ascii="Arial" w:hAnsi="Arial" w:cs="Arial"/>
          <w:sz w:val="24"/>
          <w:szCs w:val="24"/>
        </w:rPr>
        <w:t xml:space="preserve">ont </w:t>
      </w:r>
      <w:r w:rsidR="007140E7">
        <w:rPr>
          <w:rFonts w:ascii="Arial" w:hAnsi="Arial" w:cs="Arial"/>
          <w:sz w:val="24"/>
          <w:szCs w:val="24"/>
        </w:rPr>
        <w:t>f</w:t>
      </w:r>
      <w:r w:rsidR="005D1504">
        <w:rPr>
          <w:rFonts w:ascii="Arial" w:hAnsi="Arial" w:cs="Arial"/>
          <w:sz w:val="24"/>
          <w:szCs w:val="24"/>
        </w:rPr>
        <w:t>ai</w:t>
      </w:r>
      <w:r w:rsidR="007140E7">
        <w:rPr>
          <w:rFonts w:ascii="Arial" w:hAnsi="Arial" w:cs="Arial"/>
          <w:sz w:val="24"/>
          <w:szCs w:val="24"/>
        </w:rPr>
        <w:t xml:space="preserve">t en sorte que ce soit le cas) </w:t>
      </w:r>
      <w:r w:rsidR="00A82A33">
        <w:rPr>
          <w:rFonts w:ascii="Arial" w:hAnsi="Arial" w:cs="Arial"/>
          <w:sz w:val="24"/>
          <w:szCs w:val="24"/>
        </w:rPr>
        <w:t>un</w:t>
      </w:r>
      <w:r w:rsidR="00594EF0">
        <w:rPr>
          <w:rFonts w:ascii="Arial" w:hAnsi="Arial" w:cs="Arial"/>
          <w:sz w:val="24"/>
          <w:szCs w:val="24"/>
        </w:rPr>
        <w:t xml:space="preserve"> accès direct aux espaces d</w:t>
      </w:r>
      <w:r w:rsidR="00A82A33">
        <w:rPr>
          <w:rFonts w:ascii="Arial" w:hAnsi="Arial" w:cs="Arial"/>
          <w:sz w:val="24"/>
          <w:szCs w:val="24"/>
        </w:rPr>
        <w:t>e parole</w:t>
      </w:r>
      <w:r w:rsidR="00594EF0">
        <w:rPr>
          <w:rFonts w:ascii="Arial" w:hAnsi="Arial" w:cs="Arial"/>
          <w:sz w:val="24"/>
          <w:szCs w:val="24"/>
        </w:rPr>
        <w:t xml:space="preserve"> (la gouvernance) </w:t>
      </w:r>
      <w:r w:rsidR="00A82A33">
        <w:rPr>
          <w:rFonts w:ascii="Arial" w:hAnsi="Arial" w:cs="Arial"/>
          <w:sz w:val="24"/>
          <w:szCs w:val="24"/>
        </w:rPr>
        <w:t xml:space="preserve">avec les équipes dirigeantes afin de </w:t>
      </w:r>
      <w:r w:rsidR="009076EF">
        <w:rPr>
          <w:rFonts w:ascii="Arial" w:hAnsi="Arial" w:cs="Arial"/>
          <w:sz w:val="24"/>
          <w:szCs w:val="24"/>
        </w:rPr>
        <w:t>susciter des mesures de révision de</w:t>
      </w:r>
      <w:r w:rsidR="00A82A33">
        <w:rPr>
          <w:rFonts w:ascii="Arial" w:hAnsi="Arial" w:cs="Arial"/>
          <w:sz w:val="24"/>
          <w:szCs w:val="24"/>
        </w:rPr>
        <w:t>s périmètres stratégiques</w:t>
      </w:r>
      <w:r w:rsidR="009076EF">
        <w:rPr>
          <w:rFonts w:ascii="Arial" w:hAnsi="Arial" w:cs="Arial"/>
          <w:sz w:val="24"/>
          <w:szCs w:val="24"/>
        </w:rPr>
        <w:t xml:space="preserve"> de l’entreprise</w:t>
      </w:r>
      <w:r w:rsidR="00A82A33">
        <w:rPr>
          <w:rFonts w:ascii="Arial" w:hAnsi="Arial" w:cs="Arial"/>
          <w:sz w:val="24"/>
          <w:szCs w:val="24"/>
        </w:rPr>
        <w:t>.</w:t>
      </w:r>
      <w:r w:rsidR="00571A2D">
        <w:rPr>
          <w:rFonts w:ascii="Arial" w:hAnsi="Arial" w:cs="Arial"/>
          <w:sz w:val="24"/>
          <w:szCs w:val="24"/>
        </w:rPr>
        <w:t xml:space="preserve"> L</w:t>
      </w:r>
      <w:r w:rsidR="005D4F2A">
        <w:rPr>
          <w:rFonts w:ascii="Arial" w:hAnsi="Arial" w:cs="Arial"/>
          <w:sz w:val="24"/>
          <w:szCs w:val="24"/>
        </w:rPr>
        <w:t>’actualité récente démontre que des</w:t>
      </w:r>
      <w:r w:rsidR="00571A2D">
        <w:rPr>
          <w:rFonts w:ascii="Arial" w:hAnsi="Arial" w:cs="Arial"/>
          <w:sz w:val="24"/>
          <w:szCs w:val="24"/>
        </w:rPr>
        <w:t xml:space="preserve"> désaccords avec le management de l’entreprise ont</w:t>
      </w:r>
      <w:r w:rsidR="00EB50B2">
        <w:rPr>
          <w:rFonts w:ascii="Arial" w:hAnsi="Arial" w:cs="Arial"/>
          <w:sz w:val="24"/>
          <w:szCs w:val="24"/>
        </w:rPr>
        <w:t xml:space="preserve"> </w:t>
      </w:r>
      <w:r w:rsidR="005D4F2A">
        <w:rPr>
          <w:rFonts w:ascii="Arial" w:hAnsi="Arial" w:cs="Arial"/>
          <w:sz w:val="24"/>
          <w:szCs w:val="24"/>
        </w:rPr>
        <w:t>induit des modifications dans l</w:t>
      </w:r>
      <w:r w:rsidR="007F78CE">
        <w:rPr>
          <w:rFonts w:ascii="Arial" w:hAnsi="Arial" w:cs="Arial"/>
          <w:sz w:val="24"/>
          <w:szCs w:val="24"/>
        </w:rPr>
        <w:t>a direction de grandes entreprises</w:t>
      </w:r>
      <w:r w:rsidR="00877834">
        <w:rPr>
          <w:rFonts w:ascii="Arial" w:hAnsi="Arial" w:cs="Arial"/>
          <w:sz w:val="24"/>
          <w:szCs w:val="24"/>
        </w:rPr>
        <w:t xml:space="preserve"> françaises</w:t>
      </w:r>
      <w:r w:rsidR="007F78CE">
        <w:rPr>
          <w:rFonts w:ascii="Arial" w:hAnsi="Arial" w:cs="Arial"/>
          <w:sz w:val="24"/>
          <w:szCs w:val="24"/>
        </w:rPr>
        <w:t>.</w:t>
      </w:r>
      <w:r w:rsidR="00C26F50">
        <w:rPr>
          <w:rFonts w:ascii="Arial" w:hAnsi="Arial" w:cs="Arial"/>
          <w:sz w:val="24"/>
          <w:szCs w:val="24"/>
        </w:rPr>
        <w:t xml:space="preserve"> </w:t>
      </w:r>
      <w:r w:rsidR="005E0535">
        <w:rPr>
          <w:rFonts w:ascii="Arial" w:hAnsi="Arial" w:cs="Arial"/>
          <w:sz w:val="24"/>
          <w:szCs w:val="24"/>
        </w:rPr>
        <w:t>L’objectif de cette recherche est d’essayer d’approcher des éventuels comportements différenciés des investisseurs institutionnels</w:t>
      </w:r>
      <w:r w:rsidR="00022152">
        <w:rPr>
          <w:rFonts w:ascii="Arial" w:hAnsi="Arial" w:cs="Arial"/>
          <w:sz w:val="24"/>
          <w:szCs w:val="24"/>
        </w:rPr>
        <w:t xml:space="preserve"> selon le niveau d’accessibilité du capital de l’entreprise.</w:t>
      </w:r>
      <w:r w:rsidR="003355A5">
        <w:rPr>
          <w:rFonts w:ascii="Arial" w:hAnsi="Arial" w:cs="Arial"/>
          <w:sz w:val="24"/>
          <w:szCs w:val="24"/>
        </w:rPr>
        <w:t xml:space="preserve"> En effet, </w:t>
      </w:r>
      <w:r w:rsidR="00835A65">
        <w:rPr>
          <w:rFonts w:ascii="Arial" w:hAnsi="Arial" w:cs="Arial"/>
          <w:sz w:val="24"/>
          <w:szCs w:val="24"/>
        </w:rPr>
        <w:t xml:space="preserve">nous pourrions postuler </w:t>
      </w:r>
      <w:r w:rsidR="00D958D1">
        <w:rPr>
          <w:rFonts w:ascii="Arial" w:hAnsi="Arial" w:cs="Arial"/>
          <w:sz w:val="24"/>
          <w:szCs w:val="24"/>
        </w:rPr>
        <w:t>une orchestration différenciée</w:t>
      </w:r>
      <w:r w:rsidR="00835A65">
        <w:rPr>
          <w:rFonts w:ascii="Arial" w:hAnsi="Arial" w:cs="Arial"/>
          <w:sz w:val="24"/>
          <w:szCs w:val="24"/>
        </w:rPr>
        <w:t xml:space="preserve"> d</w:t>
      </w:r>
      <w:r w:rsidR="00D958D1">
        <w:rPr>
          <w:rFonts w:ascii="Arial" w:hAnsi="Arial" w:cs="Arial"/>
          <w:sz w:val="24"/>
          <w:szCs w:val="24"/>
        </w:rPr>
        <w:t>e l</w:t>
      </w:r>
      <w:r w:rsidR="00835A65">
        <w:rPr>
          <w:rFonts w:ascii="Arial" w:hAnsi="Arial" w:cs="Arial"/>
          <w:sz w:val="24"/>
          <w:szCs w:val="24"/>
        </w:rPr>
        <w:t xml:space="preserve">’activisme selon </w:t>
      </w:r>
      <w:r w:rsidR="00E107FD">
        <w:rPr>
          <w:rFonts w:ascii="Arial" w:hAnsi="Arial" w:cs="Arial"/>
          <w:sz w:val="24"/>
          <w:szCs w:val="24"/>
        </w:rPr>
        <w:t>la propension d</w:t>
      </w:r>
      <w:r w:rsidR="002C7F41">
        <w:rPr>
          <w:rFonts w:ascii="Arial" w:hAnsi="Arial" w:cs="Arial"/>
          <w:sz w:val="24"/>
          <w:szCs w:val="24"/>
        </w:rPr>
        <w:t xml:space="preserve">es autres actionnaires en présence </w:t>
      </w:r>
      <w:r w:rsidR="00D958D1">
        <w:rPr>
          <w:rFonts w:ascii="Arial" w:hAnsi="Arial" w:cs="Arial"/>
          <w:sz w:val="24"/>
          <w:szCs w:val="24"/>
        </w:rPr>
        <w:t xml:space="preserve">dans le capital de l’entreprise </w:t>
      </w:r>
      <w:r w:rsidR="002C7F41">
        <w:rPr>
          <w:rFonts w:ascii="Arial" w:hAnsi="Arial" w:cs="Arial"/>
          <w:sz w:val="24"/>
          <w:szCs w:val="24"/>
        </w:rPr>
        <w:t>à coller aux attentes des investisseurs institutionnels</w:t>
      </w:r>
      <w:r w:rsidR="00FF1B1B">
        <w:rPr>
          <w:rFonts w:ascii="Arial" w:hAnsi="Arial" w:cs="Arial"/>
          <w:sz w:val="24"/>
          <w:szCs w:val="24"/>
        </w:rPr>
        <w:t xml:space="preserve"> (capital éclaté sans contre-pouvoir capitalistique)</w:t>
      </w:r>
      <w:r w:rsidR="002C7F41">
        <w:rPr>
          <w:rFonts w:ascii="Arial" w:hAnsi="Arial" w:cs="Arial"/>
          <w:sz w:val="24"/>
          <w:szCs w:val="24"/>
        </w:rPr>
        <w:t xml:space="preserve"> versus le cas d’entreprises à capital cadenassé par des actionnaires </w:t>
      </w:r>
      <w:r w:rsidR="008B6069">
        <w:rPr>
          <w:rFonts w:ascii="Arial" w:hAnsi="Arial" w:cs="Arial"/>
          <w:sz w:val="24"/>
          <w:szCs w:val="24"/>
        </w:rPr>
        <w:t xml:space="preserve">apparemment </w:t>
      </w:r>
      <w:r w:rsidR="002C7F41">
        <w:rPr>
          <w:rFonts w:ascii="Arial" w:hAnsi="Arial" w:cs="Arial"/>
          <w:sz w:val="24"/>
          <w:szCs w:val="24"/>
        </w:rPr>
        <w:t>attachés à la continuité de l’orientation stratégique retenue</w:t>
      </w:r>
      <w:r w:rsidR="005C105F">
        <w:rPr>
          <w:rFonts w:ascii="Arial" w:hAnsi="Arial" w:cs="Arial"/>
          <w:sz w:val="24"/>
          <w:szCs w:val="24"/>
        </w:rPr>
        <w:t xml:space="preserve"> (capital fermé</w:t>
      </w:r>
      <w:r w:rsidR="00465A40">
        <w:rPr>
          <w:rFonts w:ascii="Arial" w:hAnsi="Arial" w:cs="Arial"/>
          <w:sz w:val="24"/>
          <w:szCs w:val="24"/>
        </w:rPr>
        <w:t xml:space="preserve">, par exemple, </w:t>
      </w:r>
      <w:r w:rsidR="00E96C79">
        <w:rPr>
          <w:rFonts w:ascii="Arial" w:hAnsi="Arial" w:cs="Arial"/>
          <w:sz w:val="24"/>
          <w:szCs w:val="24"/>
        </w:rPr>
        <w:t xml:space="preserve">les </w:t>
      </w:r>
      <w:r w:rsidR="00465A40">
        <w:rPr>
          <w:rFonts w:ascii="Arial" w:hAnsi="Arial" w:cs="Arial"/>
          <w:sz w:val="24"/>
          <w:szCs w:val="24"/>
        </w:rPr>
        <w:t>entreprises familiales)</w:t>
      </w:r>
      <w:r w:rsidR="002C7F41">
        <w:rPr>
          <w:rFonts w:ascii="Arial" w:hAnsi="Arial" w:cs="Arial"/>
          <w:sz w:val="24"/>
          <w:szCs w:val="24"/>
        </w:rPr>
        <w:t>.</w:t>
      </w:r>
      <w:r w:rsidR="008B6069">
        <w:rPr>
          <w:rFonts w:ascii="Arial" w:hAnsi="Arial" w:cs="Arial"/>
          <w:sz w:val="24"/>
          <w:szCs w:val="24"/>
        </w:rPr>
        <w:t xml:space="preserve"> </w:t>
      </w:r>
      <w:r w:rsidR="00AE47D6">
        <w:rPr>
          <w:rFonts w:ascii="Arial" w:hAnsi="Arial" w:cs="Arial"/>
          <w:sz w:val="24"/>
          <w:szCs w:val="24"/>
        </w:rPr>
        <w:t xml:space="preserve">La réalité des faits </w:t>
      </w:r>
      <w:r w:rsidR="00C30D40">
        <w:rPr>
          <w:rFonts w:ascii="Arial" w:hAnsi="Arial" w:cs="Arial"/>
          <w:sz w:val="24"/>
          <w:szCs w:val="24"/>
        </w:rPr>
        <w:t>semble</w:t>
      </w:r>
      <w:r w:rsidR="00AE47D6">
        <w:rPr>
          <w:rFonts w:ascii="Arial" w:hAnsi="Arial" w:cs="Arial"/>
          <w:sz w:val="24"/>
          <w:szCs w:val="24"/>
        </w:rPr>
        <w:t xml:space="preserve"> toute autre et démontre, </w:t>
      </w:r>
      <w:r w:rsidR="00C30D40">
        <w:rPr>
          <w:rFonts w:ascii="Arial" w:hAnsi="Arial" w:cs="Arial"/>
          <w:sz w:val="24"/>
          <w:szCs w:val="24"/>
        </w:rPr>
        <w:t>à tout le</w:t>
      </w:r>
      <w:r w:rsidR="00AE47D6">
        <w:rPr>
          <w:rFonts w:ascii="Arial" w:hAnsi="Arial" w:cs="Arial"/>
          <w:sz w:val="24"/>
          <w:szCs w:val="24"/>
        </w:rPr>
        <w:t xml:space="preserve"> moins au départ des </w:t>
      </w:r>
      <w:r w:rsidR="003E1163">
        <w:rPr>
          <w:rFonts w:ascii="Arial" w:hAnsi="Arial" w:cs="Arial"/>
          <w:sz w:val="24"/>
          <w:szCs w:val="24"/>
        </w:rPr>
        <w:t xml:space="preserve">cas analysés </w:t>
      </w:r>
      <w:r w:rsidR="0029253F">
        <w:rPr>
          <w:rFonts w:ascii="Arial" w:hAnsi="Arial" w:cs="Arial"/>
          <w:sz w:val="24"/>
          <w:szCs w:val="24"/>
        </w:rPr>
        <w:t>(les groupes Accor et Lagardère</w:t>
      </w:r>
      <w:r w:rsidR="005A0832">
        <w:rPr>
          <w:rFonts w:ascii="Arial" w:hAnsi="Arial" w:cs="Arial"/>
          <w:sz w:val="24"/>
          <w:szCs w:val="24"/>
        </w:rPr>
        <w:t xml:space="preserve"> soumis à un activisme de fonds anglo-saxons</w:t>
      </w:r>
      <w:r w:rsidR="0029253F">
        <w:rPr>
          <w:rFonts w:ascii="Arial" w:hAnsi="Arial" w:cs="Arial"/>
          <w:sz w:val="24"/>
          <w:szCs w:val="24"/>
        </w:rPr>
        <w:t>)</w:t>
      </w:r>
      <w:r w:rsidR="006A63CC">
        <w:rPr>
          <w:rFonts w:ascii="Arial" w:hAnsi="Arial" w:cs="Arial"/>
          <w:sz w:val="24"/>
          <w:szCs w:val="24"/>
        </w:rPr>
        <w:t xml:space="preserve">, une </w:t>
      </w:r>
      <w:r w:rsidR="0029253F">
        <w:rPr>
          <w:rFonts w:ascii="Arial" w:hAnsi="Arial" w:cs="Arial"/>
          <w:sz w:val="24"/>
          <w:szCs w:val="24"/>
        </w:rPr>
        <w:t xml:space="preserve">certaine </w:t>
      </w:r>
      <w:r w:rsidR="006A63CC">
        <w:rPr>
          <w:rFonts w:ascii="Arial" w:hAnsi="Arial" w:cs="Arial"/>
          <w:sz w:val="24"/>
          <w:szCs w:val="24"/>
        </w:rPr>
        <w:t xml:space="preserve">homogénéité des </w:t>
      </w:r>
      <w:r w:rsidR="005E75C2">
        <w:rPr>
          <w:rFonts w:ascii="Arial" w:hAnsi="Arial" w:cs="Arial"/>
          <w:sz w:val="24"/>
          <w:szCs w:val="24"/>
        </w:rPr>
        <w:t xml:space="preserve">schémas </w:t>
      </w:r>
      <w:r w:rsidR="00337A48">
        <w:rPr>
          <w:rFonts w:ascii="Arial" w:hAnsi="Arial" w:cs="Arial"/>
          <w:sz w:val="24"/>
          <w:szCs w:val="24"/>
        </w:rPr>
        <w:t xml:space="preserve">capitalistiques </w:t>
      </w:r>
      <w:r w:rsidR="005E75C2">
        <w:rPr>
          <w:rFonts w:ascii="Arial" w:hAnsi="Arial" w:cs="Arial"/>
          <w:sz w:val="24"/>
          <w:szCs w:val="24"/>
        </w:rPr>
        <w:t xml:space="preserve">suivis et des </w:t>
      </w:r>
      <w:r w:rsidR="006A63CC">
        <w:rPr>
          <w:rFonts w:ascii="Arial" w:hAnsi="Arial" w:cs="Arial"/>
          <w:sz w:val="24"/>
          <w:szCs w:val="24"/>
        </w:rPr>
        <w:t>comportements institutionnels</w:t>
      </w:r>
      <w:r w:rsidR="00A50EC9">
        <w:rPr>
          <w:rFonts w:ascii="Arial" w:hAnsi="Arial" w:cs="Arial"/>
          <w:sz w:val="24"/>
          <w:szCs w:val="24"/>
        </w:rPr>
        <w:t xml:space="preserve"> adoptés</w:t>
      </w:r>
      <w:r w:rsidR="006A63CC">
        <w:rPr>
          <w:rFonts w:ascii="Arial" w:hAnsi="Arial" w:cs="Arial"/>
          <w:sz w:val="24"/>
          <w:szCs w:val="24"/>
        </w:rPr>
        <w:t>.</w:t>
      </w:r>
      <w:r w:rsidR="00D4059E">
        <w:rPr>
          <w:rFonts w:ascii="Arial" w:hAnsi="Arial" w:cs="Arial"/>
          <w:sz w:val="24"/>
          <w:szCs w:val="24"/>
        </w:rPr>
        <w:t xml:space="preserve"> </w:t>
      </w:r>
      <w:r w:rsidR="00272DBB">
        <w:rPr>
          <w:rFonts w:ascii="Arial" w:hAnsi="Arial" w:cs="Arial"/>
          <w:sz w:val="24"/>
          <w:szCs w:val="24"/>
        </w:rPr>
        <w:t xml:space="preserve">Les résultats auxquels nous parvenons démontrent que </w:t>
      </w:r>
      <w:r w:rsidR="00386ABB">
        <w:rPr>
          <w:rFonts w:ascii="Arial" w:hAnsi="Arial" w:cs="Arial"/>
          <w:sz w:val="24"/>
          <w:szCs w:val="24"/>
        </w:rPr>
        <w:t xml:space="preserve">c’est plus </w:t>
      </w:r>
      <w:r w:rsidR="00272DBB">
        <w:rPr>
          <w:rFonts w:ascii="Arial" w:hAnsi="Arial" w:cs="Arial"/>
          <w:sz w:val="24"/>
          <w:szCs w:val="24"/>
        </w:rPr>
        <w:t xml:space="preserve">la capacité de coalisation des investisseurs institutionnels </w:t>
      </w:r>
      <w:r w:rsidR="00386ABB">
        <w:rPr>
          <w:rFonts w:ascii="Arial" w:hAnsi="Arial" w:cs="Arial"/>
          <w:sz w:val="24"/>
          <w:szCs w:val="24"/>
        </w:rPr>
        <w:t>que la manière avec laquelle est composé le capital de l’entreprise</w:t>
      </w:r>
      <w:r w:rsidR="00137F29">
        <w:rPr>
          <w:rFonts w:ascii="Arial" w:hAnsi="Arial" w:cs="Arial"/>
          <w:sz w:val="24"/>
          <w:szCs w:val="24"/>
        </w:rPr>
        <w:t xml:space="preserve"> qui permettrait d’approcher l’expression de </w:t>
      </w:r>
      <w:r w:rsidR="00A53ED3">
        <w:rPr>
          <w:rFonts w:ascii="Arial" w:hAnsi="Arial" w:cs="Arial"/>
          <w:sz w:val="24"/>
          <w:szCs w:val="24"/>
        </w:rPr>
        <w:t>leur activisme.</w:t>
      </w:r>
      <w:r w:rsidR="006A63CC">
        <w:rPr>
          <w:rFonts w:ascii="Arial" w:hAnsi="Arial" w:cs="Arial"/>
          <w:sz w:val="24"/>
          <w:szCs w:val="24"/>
        </w:rPr>
        <w:t xml:space="preserve"> </w:t>
      </w:r>
    </w:p>
    <w:p w14:paraId="1376D0D3" w14:textId="2A313FCD" w:rsidR="00714C2C" w:rsidRPr="004663D2" w:rsidRDefault="00714C2C" w:rsidP="005C2A31">
      <w:pPr>
        <w:pStyle w:val="Paragraphedeliste"/>
        <w:numPr>
          <w:ilvl w:val="0"/>
          <w:numId w:val="1"/>
        </w:numPr>
        <w:spacing w:line="240" w:lineRule="auto"/>
        <w:jc w:val="both"/>
        <w:rPr>
          <w:rFonts w:ascii="Arial" w:hAnsi="Arial" w:cs="Arial"/>
          <w:sz w:val="28"/>
          <w:szCs w:val="28"/>
          <w:u w:val="single"/>
        </w:rPr>
      </w:pPr>
      <w:r w:rsidRPr="004663D2">
        <w:rPr>
          <w:rFonts w:ascii="Arial" w:hAnsi="Arial" w:cs="Arial"/>
          <w:sz w:val="28"/>
          <w:szCs w:val="28"/>
          <w:u w:val="single"/>
        </w:rPr>
        <w:t>Les investisseurs institutionnels : état de l’art et essai</w:t>
      </w:r>
      <w:r w:rsidR="00B33E99" w:rsidRPr="004663D2">
        <w:rPr>
          <w:rFonts w:ascii="Arial" w:hAnsi="Arial" w:cs="Arial"/>
          <w:sz w:val="28"/>
          <w:szCs w:val="28"/>
          <w:u w:val="single"/>
        </w:rPr>
        <w:t>s</w:t>
      </w:r>
      <w:r w:rsidRPr="004663D2">
        <w:rPr>
          <w:rFonts w:ascii="Arial" w:hAnsi="Arial" w:cs="Arial"/>
          <w:sz w:val="28"/>
          <w:szCs w:val="28"/>
          <w:u w:val="single"/>
        </w:rPr>
        <w:t xml:space="preserve"> de classification</w:t>
      </w:r>
    </w:p>
    <w:p w14:paraId="6E74C87F" w14:textId="50741BC8" w:rsidR="004663D2" w:rsidRDefault="00A53ED3" w:rsidP="00A53ED3">
      <w:pPr>
        <w:spacing w:line="240" w:lineRule="auto"/>
        <w:ind w:left="708"/>
        <w:jc w:val="both"/>
        <w:rPr>
          <w:rFonts w:ascii="Arial" w:hAnsi="Arial" w:cs="Arial"/>
          <w:sz w:val="24"/>
          <w:szCs w:val="24"/>
        </w:rPr>
      </w:pPr>
      <w:r>
        <w:rPr>
          <w:rFonts w:ascii="Arial" w:hAnsi="Arial" w:cs="Arial"/>
          <w:sz w:val="24"/>
          <w:szCs w:val="24"/>
        </w:rPr>
        <w:t xml:space="preserve">Les investisseurs institutionnels ont largement été </w:t>
      </w:r>
      <w:r w:rsidR="00182FFD">
        <w:rPr>
          <w:rFonts w:ascii="Arial" w:hAnsi="Arial" w:cs="Arial"/>
          <w:sz w:val="24"/>
          <w:szCs w:val="24"/>
        </w:rPr>
        <w:t>étudiés depuis plusieurs décennies</w:t>
      </w:r>
      <w:r w:rsidR="00893770">
        <w:rPr>
          <w:rFonts w:ascii="Arial" w:hAnsi="Arial" w:cs="Arial"/>
          <w:sz w:val="24"/>
          <w:szCs w:val="24"/>
        </w:rPr>
        <w:t>, notamment sous l’angle de leur influence sur les modalités de gestion</w:t>
      </w:r>
      <w:r w:rsidR="00DD40E4">
        <w:rPr>
          <w:rFonts w:ascii="Arial" w:hAnsi="Arial" w:cs="Arial"/>
          <w:sz w:val="24"/>
          <w:szCs w:val="24"/>
        </w:rPr>
        <w:t xml:space="preserve"> des entreprises sous contrôle. Leur force de frappe financière leur octroie un rôle de choix dans le développement des entreprises </w:t>
      </w:r>
      <w:r w:rsidR="004D0172">
        <w:rPr>
          <w:rFonts w:ascii="Arial" w:hAnsi="Arial" w:cs="Arial"/>
          <w:sz w:val="24"/>
          <w:szCs w:val="24"/>
        </w:rPr>
        <w:t>(</w:t>
      </w:r>
      <w:r w:rsidR="00002818" w:rsidRPr="00002818">
        <w:rPr>
          <w:rFonts w:ascii="Arial" w:hAnsi="Arial" w:cs="Arial"/>
          <w:sz w:val="24"/>
          <w:szCs w:val="24"/>
        </w:rPr>
        <w:t xml:space="preserve">Michel A., </w:t>
      </w:r>
      <w:proofErr w:type="spellStart"/>
      <w:r w:rsidR="00002818" w:rsidRPr="00002818">
        <w:rPr>
          <w:rFonts w:ascii="Arial" w:hAnsi="Arial" w:cs="Arial"/>
          <w:sz w:val="24"/>
          <w:szCs w:val="24"/>
        </w:rPr>
        <w:t>Oded</w:t>
      </w:r>
      <w:proofErr w:type="spellEnd"/>
      <w:r w:rsidR="00002818" w:rsidRPr="00002818">
        <w:rPr>
          <w:rFonts w:ascii="Arial" w:hAnsi="Arial" w:cs="Arial"/>
          <w:sz w:val="24"/>
          <w:szCs w:val="24"/>
        </w:rPr>
        <w:t xml:space="preserve"> J., </w:t>
      </w:r>
      <w:proofErr w:type="spellStart"/>
      <w:r w:rsidR="00002818" w:rsidRPr="00002818">
        <w:rPr>
          <w:rFonts w:ascii="Arial" w:hAnsi="Arial" w:cs="Arial"/>
          <w:sz w:val="24"/>
          <w:szCs w:val="24"/>
        </w:rPr>
        <w:t>Shakeda</w:t>
      </w:r>
      <w:proofErr w:type="spellEnd"/>
      <w:r w:rsidR="00002818" w:rsidRPr="00002818">
        <w:rPr>
          <w:rFonts w:ascii="Arial" w:hAnsi="Arial" w:cs="Arial"/>
          <w:sz w:val="24"/>
          <w:szCs w:val="24"/>
        </w:rPr>
        <w:t xml:space="preserve"> I.</w:t>
      </w:r>
      <w:r w:rsidR="00002818">
        <w:rPr>
          <w:rFonts w:ascii="Arial" w:hAnsi="Arial" w:cs="Arial"/>
          <w:sz w:val="24"/>
          <w:szCs w:val="24"/>
        </w:rPr>
        <w:t xml:space="preserve">, </w:t>
      </w:r>
      <w:r w:rsidR="00002818" w:rsidRPr="00002818">
        <w:rPr>
          <w:rFonts w:ascii="Arial" w:hAnsi="Arial" w:cs="Arial"/>
          <w:sz w:val="24"/>
          <w:szCs w:val="24"/>
        </w:rPr>
        <w:t xml:space="preserve">2020), </w:t>
      </w:r>
      <w:r w:rsidR="00DD40E4">
        <w:rPr>
          <w:rFonts w:ascii="Arial" w:hAnsi="Arial" w:cs="Arial"/>
          <w:sz w:val="24"/>
          <w:szCs w:val="24"/>
        </w:rPr>
        <w:t>mais</w:t>
      </w:r>
      <w:r w:rsidR="00D4762B">
        <w:rPr>
          <w:rFonts w:ascii="Arial" w:hAnsi="Arial" w:cs="Arial"/>
          <w:sz w:val="24"/>
          <w:szCs w:val="24"/>
        </w:rPr>
        <w:t xml:space="preserve"> celle-ci peut</w:t>
      </w:r>
      <w:r w:rsidR="00DD40E4">
        <w:rPr>
          <w:rFonts w:ascii="Arial" w:hAnsi="Arial" w:cs="Arial"/>
          <w:sz w:val="24"/>
          <w:szCs w:val="24"/>
        </w:rPr>
        <w:t xml:space="preserve">, en retour, </w:t>
      </w:r>
      <w:r w:rsidR="00D4762B">
        <w:rPr>
          <w:rFonts w:ascii="Arial" w:hAnsi="Arial" w:cs="Arial"/>
          <w:sz w:val="24"/>
          <w:szCs w:val="24"/>
        </w:rPr>
        <w:t xml:space="preserve">leur permettre également de </w:t>
      </w:r>
      <w:r w:rsidR="004251EB">
        <w:rPr>
          <w:rFonts w:ascii="Arial" w:hAnsi="Arial" w:cs="Arial"/>
          <w:sz w:val="24"/>
          <w:szCs w:val="24"/>
        </w:rPr>
        <w:t xml:space="preserve">briser </w:t>
      </w:r>
      <w:r w:rsidR="00F3131F">
        <w:rPr>
          <w:rFonts w:ascii="Arial" w:hAnsi="Arial" w:cs="Arial"/>
          <w:sz w:val="24"/>
          <w:szCs w:val="24"/>
        </w:rPr>
        <w:t>certain</w:t>
      </w:r>
      <w:r w:rsidR="004251EB">
        <w:rPr>
          <w:rFonts w:ascii="Arial" w:hAnsi="Arial" w:cs="Arial"/>
          <w:sz w:val="24"/>
          <w:szCs w:val="24"/>
        </w:rPr>
        <w:t>s équilibres stratégiques, financiers voire organisationnels</w:t>
      </w:r>
      <w:r w:rsidR="008B2FD2">
        <w:rPr>
          <w:rFonts w:ascii="Arial" w:hAnsi="Arial" w:cs="Arial"/>
          <w:sz w:val="24"/>
          <w:szCs w:val="24"/>
        </w:rPr>
        <w:t xml:space="preserve"> de celles-ci</w:t>
      </w:r>
      <w:r w:rsidR="00D4762B">
        <w:rPr>
          <w:rFonts w:ascii="Arial" w:hAnsi="Arial" w:cs="Arial"/>
          <w:sz w:val="24"/>
          <w:szCs w:val="24"/>
        </w:rPr>
        <w:t>.</w:t>
      </w:r>
      <w:r w:rsidR="008B2FD2">
        <w:rPr>
          <w:rFonts w:ascii="Arial" w:hAnsi="Arial" w:cs="Arial"/>
          <w:sz w:val="24"/>
          <w:szCs w:val="24"/>
        </w:rPr>
        <w:t xml:space="preserve"> </w:t>
      </w:r>
      <w:r w:rsidR="0081707A">
        <w:rPr>
          <w:rFonts w:ascii="Arial" w:hAnsi="Arial" w:cs="Arial"/>
          <w:sz w:val="24"/>
          <w:szCs w:val="24"/>
        </w:rPr>
        <w:t>Si la théorie de l’agence – et les conflits engendrés par des fonctions d’utilité différentes</w:t>
      </w:r>
      <w:r w:rsidR="000B0EAD">
        <w:rPr>
          <w:rFonts w:ascii="Arial" w:hAnsi="Arial" w:cs="Arial"/>
          <w:sz w:val="24"/>
          <w:szCs w:val="24"/>
        </w:rPr>
        <w:t xml:space="preserve"> caractérisant l’agent et le principal - </w:t>
      </w:r>
      <w:r w:rsidR="0081707A">
        <w:rPr>
          <w:rFonts w:ascii="Arial" w:hAnsi="Arial" w:cs="Arial"/>
          <w:sz w:val="24"/>
          <w:szCs w:val="24"/>
        </w:rPr>
        <w:t xml:space="preserve">s’est principalement développée </w:t>
      </w:r>
      <w:r w:rsidR="0057235C">
        <w:rPr>
          <w:rFonts w:ascii="Arial" w:hAnsi="Arial" w:cs="Arial"/>
          <w:sz w:val="24"/>
          <w:szCs w:val="24"/>
        </w:rPr>
        <w:t xml:space="preserve">à partir </w:t>
      </w:r>
      <w:r w:rsidR="0081707A">
        <w:rPr>
          <w:rFonts w:ascii="Arial" w:hAnsi="Arial" w:cs="Arial"/>
          <w:sz w:val="24"/>
          <w:szCs w:val="24"/>
        </w:rPr>
        <w:t>de contextes</w:t>
      </w:r>
      <w:r w:rsidR="000B0EAD">
        <w:rPr>
          <w:rFonts w:ascii="Arial" w:hAnsi="Arial" w:cs="Arial"/>
          <w:sz w:val="24"/>
          <w:szCs w:val="24"/>
        </w:rPr>
        <w:t xml:space="preserve"> actionnariaux fortement éclatés, elle laisse </w:t>
      </w:r>
      <w:r w:rsidR="00C35BA9">
        <w:rPr>
          <w:rFonts w:ascii="Arial" w:hAnsi="Arial" w:cs="Arial"/>
          <w:sz w:val="24"/>
          <w:szCs w:val="24"/>
        </w:rPr>
        <w:t xml:space="preserve">cependant </w:t>
      </w:r>
      <w:r w:rsidR="000B0EAD">
        <w:rPr>
          <w:rFonts w:ascii="Arial" w:hAnsi="Arial" w:cs="Arial"/>
          <w:sz w:val="24"/>
          <w:szCs w:val="24"/>
        </w:rPr>
        <w:t>de côté des structures de propriété à niveaux de concentration plus élevés</w:t>
      </w:r>
      <w:r w:rsidR="006E0271">
        <w:rPr>
          <w:rFonts w:ascii="Arial" w:hAnsi="Arial" w:cs="Arial"/>
          <w:sz w:val="24"/>
          <w:szCs w:val="24"/>
        </w:rPr>
        <w:t xml:space="preserve">, avec la question </w:t>
      </w:r>
      <w:r w:rsidR="00001B37">
        <w:rPr>
          <w:rFonts w:ascii="Arial" w:hAnsi="Arial" w:cs="Arial"/>
          <w:sz w:val="24"/>
          <w:szCs w:val="24"/>
        </w:rPr>
        <w:t>d</w:t>
      </w:r>
      <w:r w:rsidR="00176AC9">
        <w:rPr>
          <w:rFonts w:ascii="Arial" w:hAnsi="Arial" w:cs="Arial"/>
          <w:sz w:val="24"/>
          <w:szCs w:val="24"/>
        </w:rPr>
        <w:t>u profil</w:t>
      </w:r>
      <w:r w:rsidR="00001B37">
        <w:rPr>
          <w:rFonts w:ascii="Arial" w:hAnsi="Arial" w:cs="Arial"/>
          <w:sz w:val="24"/>
          <w:szCs w:val="24"/>
        </w:rPr>
        <w:t xml:space="preserve"> des investisseurs centraux dans </w:t>
      </w:r>
      <w:r w:rsidR="00720A8E">
        <w:rPr>
          <w:rFonts w:ascii="Arial" w:hAnsi="Arial" w:cs="Arial"/>
          <w:sz w:val="24"/>
          <w:szCs w:val="24"/>
        </w:rPr>
        <w:t>les structures de capital</w:t>
      </w:r>
      <w:r w:rsidR="000B0EAD">
        <w:rPr>
          <w:rFonts w:ascii="Arial" w:hAnsi="Arial" w:cs="Arial"/>
          <w:sz w:val="24"/>
          <w:szCs w:val="24"/>
        </w:rPr>
        <w:t>.</w:t>
      </w:r>
      <w:r w:rsidR="00EC1C33">
        <w:rPr>
          <w:rFonts w:ascii="Arial" w:hAnsi="Arial" w:cs="Arial"/>
          <w:sz w:val="24"/>
          <w:szCs w:val="24"/>
        </w:rPr>
        <w:t xml:space="preserve"> </w:t>
      </w:r>
      <w:r w:rsidR="000C382B">
        <w:rPr>
          <w:rFonts w:ascii="Arial" w:hAnsi="Arial" w:cs="Arial"/>
          <w:sz w:val="24"/>
          <w:szCs w:val="24"/>
        </w:rPr>
        <w:t>La</w:t>
      </w:r>
      <w:r w:rsidR="00A56413">
        <w:rPr>
          <w:rFonts w:ascii="Arial" w:hAnsi="Arial" w:cs="Arial"/>
          <w:sz w:val="24"/>
          <w:szCs w:val="24"/>
        </w:rPr>
        <w:t xml:space="preserve"> problématique</w:t>
      </w:r>
      <w:r w:rsidR="000C382B">
        <w:rPr>
          <w:rFonts w:ascii="Arial" w:hAnsi="Arial" w:cs="Arial"/>
          <w:sz w:val="24"/>
          <w:szCs w:val="24"/>
        </w:rPr>
        <w:t xml:space="preserve"> de la géographie du capital deviendrait donc</w:t>
      </w:r>
      <w:r w:rsidR="00720A8E">
        <w:rPr>
          <w:rFonts w:ascii="Arial" w:hAnsi="Arial" w:cs="Arial"/>
          <w:sz w:val="24"/>
          <w:szCs w:val="24"/>
        </w:rPr>
        <w:t>,</w:t>
      </w:r>
      <w:r w:rsidR="000C382B">
        <w:rPr>
          <w:rFonts w:ascii="Arial" w:hAnsi="Arial" w:cs="Arial"/>
          <w:sz w:val="24"/>
          <w:szCs w:val="24"/>
        </w:rPr>
        <w:t xml:space="preserve"> dans ce schéma</w:t>
      </w:r>
      <w:r w:rsidR="00720A8E">
        <w:rPr>
          <w:rFonts w:ascii="Arial" w:hAnsi="Arial" w:cs="Arial"/>
          <w:sz w:val="24"/>
          <w:szCs w:val="24"/>
        </w:rPr>
        <w:t>,</w:t>
      </w:r>
      <w:r w:rsidR="000C382B">
        <w:rPr>
          <w:rFonts w:ascii="Arial" w:hAnsi="Arial" w:cs="Arial"/>
          <w:sz w:val="24"/>
          <w:szCs w:val="24"/>
        </w:rPr>
        <w:t xml:space="preserve"> un élément central </w:t>
      </w:r>
      <w:r w:rsidR="009B5304">
        <w:rPr>
          <w:rFonts w:ascii="Arial" w:hAnsi="Arial" w:cs="Arial"/>
          <w:sz w:val="24"/>
          <w:szCs w:val="24"/>
        </w:rPr>
        <w:t>pour cerner les réels champ</w:t>
      </w:r>
      <w:r w:rsidR="006E0271">
        <w:rPr>
          <w:rFonts w:ascii="Arial" w:hAnsi="Arial" w:cs="Arial"/>
          <w:sz w:val="24"/>
          <w:szCs w:val="24"/>
        </w:rPr>
        <w:t>s</w:t>
      </w:r>
      <w:r w:rsidR="009B5304">
        <w:rPr>
          <w:rFonts w:ascii="Arial" w:hAnsi="Arial" w:cs="Arial"/>
          <w:sz w:val="24"/>
          <w:szCs w:val="24"/>
        </w:rPr>
        <w:t xml:space="preserve"> d’application de la théorie de l’agence. </w:t>
      </w:r>
      <w:r w:rsidR="00EC1C33">
        <w:rPr>
          <w:rFonts w:ascii="Arial" w:hAnsi="Arial" w:cs="Arial"/>
          <w:sz w:val="24"/>
          <w:szCs w:val="24"/>
        </w:rPr>
        <w:t>Dans cette optique, et selon un schéma</w:t>
      </w:r>
      <w:r w:rsidR="002E1499">
        <w:rPr>
          <w:rFonts w:ascii="Arial" w:hAnsi="Arial" w:cs="Arial"/>
          <w:sz w:val="24"/>
          <w:szCs w:val="24"/>
        </w:rPr>
        <w:t xml:space="preserve"> très orienté </w:t>
      </w:r>
      <w:proofErr w:type="spellStart"/>
      <w:r w:rsidR="002E1499" w:rsidRPr="00AF4CB8">
        <w:rPr>
          <w:rFonts w:ascii="Arial" w:hAnsi="Arial" w:cs="Arial"/>
          <w:i/>
          <w:iCs/>
          <w:sz w:val="24"/>
          <w:szCs w:val="24"/>
        </w:rPr>
        <w:t>shareholder</w:t>
      </w:r>
      <w:proofErr w:type="spellEnd"/>
      <w:r w:rsidR="002E1499">
        <w:rPr>
          <w:rFonts w:ascii="Arial" w:hAnsi="Arial" w:cs="Arial"/>
          <w:sz w:val="24"/>
          <w:szCs w:val="24"/>
        </w:rPr>
        <w:t xml:space="preserve"> </w:t>
      </w:r>
      <w:r w:rsidR="002E1499" w:rsidRPr="008947AF">
        <w:rPr>
          <w:rFonts w:ascii="Arial" w:hAnsi="Arial" w:cs="Arial"/>
          <w:i/>
          <w:iCs/>
          <w:sz w:val="24"/>
          <w:szCs w:val="24"/>
        </w:rPr>
        <w:t>value</w:t>
      </w:r>
      <w:r w:rsidR="002E1499">
        <w:rPr>
          <w:rFonts w:ascii="Arial" w:hAnsi="Arial" w:cs="Arial"/>
          <w:sz w:val="24"/>
          <w:szCs w:val="24"/>
        </w:rPr>
        <w:t xml:space="preserve">, les investisseurs institutionnels pourraient constituer une sorte de mécanisme de gouvernance </w:t>
      </w:r>
      <w:r w:rsidR="002E1499" w:rsidRPr="002E1499">
        <w:rPr>
          <w:rFonts w:ascii="Arial" w:hAnsi="Arial" w:cs="Arial"/>
          <w:i/>
          <w:iCs/>
          <w:sz w:val="24"/>
          <w:szCs w:val="24"/>
        </w:rPr>
        <w:lastRenderedPageBreak/>
        <w:t xml:space="preserve">stricto sensu </w:t>
      </w:r>
      <w:r w:rsidR="002E1499">
        <w:rPr>
          <w:rFonts w:ascii="Arial" w:hAnsi="Arial" w:cs="Arial"/>
          <w:sz w:val="24"/>
          <w:szCs w:val="24"/>
        </w:rPr>
        <w:t>permett</w:t>
      </w:r>
      <w:r w:rsidR="00683D16">
        <w:rPr>
          <w:rFonts w:ascii="Arial" w:hAnsi="Arial" w:cs="Arial"/>
          <w:sz w:val="24"/>
          <w:szCs w:val="24"/>
        </w:rPr>
        <w:t>a</w:t>
      </w:r>
      <w:r w:rsidR="002E1499">
        <w:rPr>
          <w:rFonts w:ascii="Arial" w:hAnsi="Arial" w:cs="Arial"/>
          <w:sz w:val="24"/>
          <w:szCs w:val="24"/>
        </w:rPr>
        <w:t>nt</w:t>
      </w:r>
      <w:r w:rsidR="0081707A">
        <w:rPr>
          <w:rFonts w:ascii="Arial" w:hAnsi="Arial" w:cs="Arial"/>
          <w:sz w:val="24"/>
          <w:szCs w:val="24"/>
        </w:rPr>
        <w:t xml:space="preserve"> </w:t>
      </w:r>
      <w:r w:rsidR="002E1499">
        <w:rPr>
          <w:rFonts w:ascii="Arial" w:hAnsi="Arial" w:cs="Arial"/>
          <w:sz w:val="24"/>
          <w:szCs w:val="24"/>
        </w:rPr>
        <w:t xml:space="preserve">de </w:t>
      </w:r>
      <w:r w:rsidR="00683D16">
        <w:rPr>
          <w:rFonts w:ascii="Arial" w:hAnsi="Arial" w:cs="Arial"/>
          <w:sz w:val="24"/>
          <w:szCs w:val="24"/>
        </w:rPr>
        <w:t xml:space="preserve">faire </w:t>
      </w:r>
      <w:r w:rsidR="002E1499">
        <w:rPr>
          <w:rFonts w:ascii="Arial" w:hAnsi="Arial" w:cs="Arial"/>
          <w:sz w:val="24"/>
          <w:szCs w:val="24"/>
        </w:rPr>
        <w:t xml:space="preserve">coller </w:t>
      </w:r>
      <w:r w:rsidR="00C3444C">
        <w:rPr>
          <w:rFonts w:ascii="Arial" w:hAnsi="Arial" w:cs="Arial"/>
          <w:sz w:val="24"/>
          <w:szCs w:val="24"/>
        </w:rPr>
        <w:t>les choix managériaux a</w:t>
      </w:r>
      <w:r w:rsidR="003714DE">
        <w:rPr>
          <w:rFonts w:ascii="Arial" w:hAnsi="Arial" w:cs="Arial"/>
          <w:sz w:val="24"/>
          <w:szCs w:val="24"/>
        </w:rPr>
        <w:t xml:space="preserve">ux </w:t>
      </w:r>
      <w:r w:rsidR="00C3444C">
        <w:rPr>
          <w:rFonts w:ascii="Arial" w:hAnsi="Arial" w:cs="Arial"/>
          <w:sz w:val="24"/>
          <w:szCs w:val="24"/>
        </w:rPr>
        <w:t>attentes actionnariales</w:t>
      </w:r>
      <w:r w:rsidR="0045108C">
        <w:rPr>
          <w:rFonts w:ascii="Arial" w:hAnsi="Arial" w:cs="Arial"/>
          <w:sz w:val="24"/>
          <w:szCs w:val="24"/>
        </w:rPr>
        <w:t xml:space="preserve"> (Chen</w:t>
      </w:r>
      <w:r w:rsidR="00D064F2">
        <w:rPr>
          <w:rFonts w:ascii="Arial" w:hAnsi="Arial" w:cs="Arial"/>
          <w:sz w:val="24"/>
          <w:szCs w:val="24"/>
        </w:rPr>
        <w:t xml:space="preserve"> X., Austin J., 2007)</w:t>
      </w:r>
      <w:r w:rsidR="00C3444C">
        <w:rPr>
          <w:rFonts w:ascii="Arial" w:hAnsi="Arial" w:cs="Arial"/>
          <w:sz w:val="24"/>
          <w:szCs w:val="24"/>
        </w:rPr>
        <w:t>.</w:t>
      </w:r>
      <w:r w:rsidR="00F737FD">
        <w:rPr>
          <w:rFonts w:ascii="Arial" w:hAnsi="Arial" w:cs="Arial"/>
          <w:sz w:val="24"/>
          <w:szCs w:val="24"/>
        </w:rPr>
        <w:t xml:space="preserve"> Toujours dans cette logique, </w:t>
      </w:r>
      <w:r w:rsidR="005911AE">
        <w:rPr>
          <w:rFonts w:ascii="Arial" w:hAnsi="Arial" w:cs="Arial"/>
          <w:sz w:val="24"/>
          <w:szCs w:val="24"/>
        </w:rPr>
        <w:t>on p</w:t>
      </w:r>
      <w:r w:rsidR="009F5E3C">
        <w:rPr>
          <w:rFonts w:ascii="Arial" w:hAnsi="Arial" w:cs="Arial"/>
          <w:sz w:val="24"/>
          <w:szCs w:val="24"/>
        </w:rPr>
        <w:t>eu</w:t>
      </w:r>
      <w:r w:rsidR="005911AE">
        <w:rPr>
          <w:rFonts w:ascii="Arial" w:hAnsi="Arial" w:cs="Arial"/>
          <w:sz w:val="24"/>
          <w:szCs w:val="24"/>
        </w:rPr>
        <w:t xml:space="preserve">t penser que les petits porteurs </w:t>
      </w:r>
      <w:r w:rsidR="00985995">
        <w:rPr>
          <w:rFonts w:ascii="Arial" w:hAnsi="Arial" w:cs="Arial"/>
          <w:sz w:val="24"/>
          <w:szCs w:val="24"/>
        </w:rPr>
        <w:t xml:space="preserve">imiteraient </w:t>
      </w:r>
      <w:r w:rsidR="00B1349F">
        <w:rPr>
          <w:rFonts w:ascii="Arial" w:hAnsi="Arial" w:cs="Arial"/>
          <w:sz w:val="24"/>
          <w:szCs w:val="24"/>
        </w:rPr>
        <w:t xml:space="preserve">le positionnement institutionnel et </w:t>
      </w:r>
      <w:r w:rsidR="005911AE">
        <w:rPr>
          <w:rFonts w:ascii="Arial" w:hAnsi="Arial" w:cs="Arial"/>
          <w:sz w:val="24"/>
          <w:szCs w:val="24"/>
        </w:rPr>
        <w:t>mandate</w:t>
      </w:r>
      <w:r w:rsidR="00BB29D2">
        <w:rPr>
          <w:rFonts w:ascii="Arial" w:hAnsi="Arial" w:cs="Arial"/>
          <w:sz w:val="24"/>
          <w:szCs w:val="24"/>
        </w:rPr>
        <w:t>raie</w:t>
      </w:r>
      <w:r w:rsidR="005911AE">
        <w:rPr>
          <w:rFonts w:ascii="Arial" w:hAnsi="Arial" w:cs="Arial"/>
          <w:sz w:val="24"/>
          <w:szCs w:val="24"/>
        </w:rPr>
        <w:t xml:space="preserve">nt </w:t>
      </w:r>
      <w:r w:rsidR="00B53723">
        <w:rPr>
          <w:rFonts w:ascii="Arial" w:hAnsi="Arial" w:cs="Arial"/>
          <w:sz w:val="24"/>
          <w:szCs w:val="24"/>
        </w:rPr>
        <w:t>c</w:t>
      </w:r>
      <w:r w:rsidR="005911AE">
        <w:rPr>
          <w:rFonts w:ascii="Arial" w:hAnsi="Arial" w:cs="Arial"/>
          <w:sz w:val="24"/>
          <w:szCs w:val="24"/>
        </w:rPr>
        <w:t xml:space="preserve">es investisseurs afin que ces derniers </w:t>
      </w:r>
      <w:r w:rsidR="00EE26E7">
        <w:rPr>
          <w:rFonts w:ascii="Arial" w:hAnsi="Arial" w:cs="Arial"/>
          <w:sz w:val="24"/>
          <w:szCs w:val="24"/>
        </w:rPr>
        <w:t xml:space="preserve">se comportent comme des </w:t>
      </w:r>
      <w:r w:rsidR="00955332">
        <w:rPr>
          <w:rFonts w:ascii="Arial" w:hAnsi="Arial" w:cs="Arial"/>
          <w:sz w:val="24"/>
          <w:szCs w:val="24"/>
        </w:rPr>
        <w:t>défenseur</w:t>
      </w:r>
      <w:r w:rsidR="00EE26E7">
        <w:rPr>
          <w:rFonts w:ascii="Arial" w:hAnsi="Arial" w:cs="Arial"/>
          <w:sz w:val="24"/>
          <w:szCs w:val="24"/>
        </w:rPr>
        <w:t xml:space="preserve">s </w:t>
      </w:r>
      <w:r w:rsidR="00955332">
        <w:rPr>
          <w:rFonts w:ascii="Arial" w:hAnsi="Arial" w:cs="Arial"/>
          <w:sz w:val="24"/>
          <w:szCs w:val="24"/>
        </w:rPr>
        <w:t xml:space="preserve">ultimes </w:t>
      </w:r>
      <w:r w:rsidR="00EE26E7">
        <w:rPr>
          <w:rFonts w:ascii="Arial" w:hAnsi="Arial" w:cs="Arial"/>
          <w:sz w:val="24"/>
          <w:szCs w:val="24"/>
        </w:rPr>
        <w:t>des intérêts actionnariaux</w:t>
      </w:r>
      <w:r w:rsidR="0074734A">
        <w:rPr>
          <w:rFonts w:ascii="Arial" w:hAnsi="Arial" w:cs="Arial"/>
          <w:sz w:val="24"/>
          <w:szCs w:val="24"/>
        </w:rPr>
        <w:t xml:space="preserve"> (</w:t>
      </w:r>
      <w:proofErr w:type="spellStart"/>
      <w:r w:rsidR="00E36755">
        <w:rPr>
          <w:rFonts w:ascii="Arial" w:hAnsi="Arial" w:cs="Arial"/>
          <w:sz w:val="24"/>
          <w:szCs w:val="24"/>
        </w:rPr>
        <w:t>Stepanov</w:t>
      </w:r>
      <w:proofErr w:type="spellEnd"/>
      <w:r w:rsidR="00E36755">
        <w:rPr>
          <w:rFonts w:ascii="Arial" w:hAnsi="Arial" w:cs="Arial"/>
          <w:sz w:val="24"/>
          <w:szCs w:val="24"/>
        </w:rPr>
        <w:t xml:space="preserve"> S., </w:t>
      </w:r>
      <w:proofErr w:type="spellStart"/>
      <w:r w:rsidR="00E36755">
        <w:rPr>
          <w:rFonts w:ascii="Arial" w:hAnsi="Arial" w:cs="Arial"/>
          <w:sz w:val="24"/>
          <w:szCs w:val="24"/>
        </w:rPr>
        <w:t>Suvorov</w:t>
      </w:r>
      <w:proofErr w:type="spellEnd"/>
      <w:r w:rsidR="00E36755">
        <w:rPr>
          <w:rFonts w:ascii="Arial" w:hAnsi="Arial" w:cs="Arial"/>
          <w:sz w:val="24"/>
          <w:szCs w:val="24"/>
        </w:rPr>
        <w:t xml:space="preserve"> </w:t>
      </w:r>
      <w:r w:rsidR="00110B8C">
        <w:rPr>
          <w:rFonts w:ascii="Arial" w:hAnsi="Arial" w:cs="Arial"/>
          <w:sz w:val="24"/>
          <w:szCs w:val="24"/>
        </w:rPr>
        <w:t>A., 2017)</w:t>
      </w:r>
      <w:r w:rsidR="00EE26E7">
        <w:rPr>
          <w:rFonts w:ascii="Arial" w:hAnsi="Arial" w:cs="Arial"/>
          <w:sz w:val="24"/>
          <w:szCs w:val="24"/>
        </w:rPr>
        <w:t>.</w:t>
      </w:r>
      <w:r w:rsidR="009C16CA">
        <w:rPr>
          <w:rFonts w:ascii="Arial" w:hAnsi="Arial" w:cs="Arial"/>
          <w:sz w:val="24"/>
          <w:szCs w:val="24"/>
        </w:rPr>
        <w:t xml:space="preserve"> </w:t>
      </w:r>
    </w:p>
    <w:p w14:paraId="2EBD8C26" w14:textId="7BCEE9BA" w:rsidR="00014174" w:rsidRDefault="00C8155B" w:rsidP="00A53ED3">
      <w:pPr>
        <w:spacing w:line="240" w:lineRule="auto"/>
        <w:ind w:left="708"/>
        <w:jc w:val="both"/>
        <w:rPr>
          <w:rFonts w:ascii="Arial" w:hAnsi="Arial" w:cs="Arial"/>
          <w:sz w:val="24"/>
          <w:szCs w:val="24"/>
        </w:rPr>
      </w:pPr>
      <w:r>
        <w:rPr>
          <w:rFonts w:ascii="Arial" w:hAnsi="Arial" w:cs="Arial"/>
          <w:sz w:val="24"/>
          <w:szCs w:val="24"/>
        </w:rPr>
        <w:t>En fonction de l’importance croissante de l’actionnariat institutionnel</w:t>
      </w:r>
      <w:r w:rsidR="009A5D45">
        <w:rPr>
          <w:rFonts w:ascii="Arial" w:hAnsi="Arial" w:cs="Arial"/>
          <w:sz w:val="24"/>
          <w:szCs w:val="24"/>
        </w:rPr>
        <w:t xml:space="preserve"> et de la nébuleuse</w:t>
      </w:r>
      <w:r w:rsidR="00853C07">
        <w:rPr>
          <w:rFonts w:ascii="Arial" w:hAnsi="Arial" w:cs="Arial"/>
          <w:sz w:val="24"/>
          <w:szCs w:val="24"/>
        </w:rPr>
        <w:t xml:space="preserve"> d’éléments le caractérisant</w:t>
      </w:r>
      <w:r>
        <w:rPr>
          <w:rFonts w:ascii="Arial" w:hAnsi="Arial" w:cs="Arial"/>
          <w:sz w:val="24"/>
          <w:szCs w:val="24"/>
        </w:rPr>
        <w:t>, la littérature finan</w:t>
      </w:r>
      <w:r w:rsidR="00631E9F">
        <w:rPr>
          <w:rFonts w:ascii="Arial" w:hAnsi="Arial" w:cs="Arial"/>
          <w:sz w:val="24"/>
          <w:szCs w:val="24"/>
        </w:rPr>
        <w:t>cière s’est emparée de cette problématique</w:t>
      </w:r>
      <w:r w:rsidR="004D76E8">
        <w:rPr>
          <w:rFonts w:ascii="Arial" w:hAnsi="Arial" w:cs="Arial"/>
          <w:sz w:val="24"/>
          <w:szCs w:val="24"/>
        </w:rPr>
        <w:t>.</w:t>
      </w:r>
    </w:p>
    <w:p w14:paraId="3B33C995" w14:textId="7F2F4461" w:rsidR="00C8155B" w:rsidRDefault="005D3E8C" w:rsidP="00A53ED3">
      <w:pPr>
        <w:spacing w:line="240" w:lineRule="auto"/>
        <w:ind w:left="708"/>
        <w:jc w:val="both"/>
        <w:rPr>
          <w:rFonts w:ascii="Arial" w:hAnsi="Arial" w:cs="Arial"/>
          <w:sz w:val="24"/>
          <w:szCs w:val="24"/>
        </w:rPr>
      </w:pPr>
      <w:r>
        <w:rPr>
          <w:rFonts w:ascii="Arial" w:hAnsi="Arial" w:cs="Arial"/>
          <w:sz w:val="24"/>
          <w:szCs w:val="24"/>
        </w:rPr>
        <w:t>De nombreuses analyses ont concerné des exercices de classification des investisseurs institutionnels</w:t>
      </w:r>
      <w:r w:rsidR="003D2D41">
        <w:rPr>
          <w:rFonts w:ascii="Arial" w:hAnsi="Arial" w:cs="Arial"/>
          <w:sz w:val="24"/>
          <w:szCs w:val="24"/>
        </w:rPr>
        <w:t xml:space="preserve"> en prenant appui sur des variables à </w:t>
      </w:r>
      <w:r w:rsidR="00F13794">
        <w:rPr>
          <w:rFonts w:ascii="Arial" w:hAnsi="Arial" w:cs="Arial"/>
          <w:sz w:val="24"/>
          <w:szCs w:val="24"/>
        </w:rPr>
        <w:t>destination</w:t>
      </w:r>
      <w:r w:rsidR="003D2D41">
        <w:rPr>
          <w:rFonts w:ascii="Arial" w:hAnsi="Arial" w:cs="Arial"/>
          <w:sz w:val="24"/>
          <w:szCs w:val="24"/>
        </w:rPr>
        <w:t xml:space="preserve"> discriminante.</w:t>
      </w:r>
      <w:r w:rsidR="00CE30E3">
        <w:rPr>
          <w:rFonts w:ascii="Arial" w:hAnsi="Arial" w:cs="Arial"/>
          <w:sz w:val="24"/>
          <w:szCs w:val="24"/>
        </w:rPr>
        <w:t xml:space="preserve"> La compartimentalisation </w:t>
      </w:r>
      <w:r w:rsidR="00835492">
        <w:rPr>
          <w:rFonts w:ascii="Arial" w:hAnsi="Arial" w:cs="Arial"/>
          <w:sz w:val="24"/>
          <w:szCs w:val="24"/>
        </w:rPr>
        <w:t>des investisseurs institutionnels s’est largement établie sur une base temporelle des placements</w:t>
      </w:r>
      <w:r w:rsidR="00E4593B">
        <w:rPr>
          <w:rFonts w:ascii="Arial" w:hAnsi="Arial" w:cs="Arial"/>
          <w:sz w:val="24"/>
          <w:szCs w:val="24"/>
        </w:rPr>
        <w:t xml:space="preserve"> (</w:t>
      </w:r>
      <w:r w:rsidR="008F4C69">
        <w:rPr>
          <w:rFonts w:ascii="Arial" w:hAnsi="Arial" w:cs="Arial"/>
          <w:sz w:val="24"/>
          <w:szCs w:val="24"/>
        </w:rPr>
        <w:t xml:space="preserve">par exemple, </w:t>
      </w:r>
      <w:r w:rsidR="00E4593B" w:rsidRPr="00E4593B">
        <w:rPr>
          <w:rFonts w:ascii="Arial" w:hAnsi="Arial" w:cs="Arial"/>
          <w:sz w:val="24"/>
          <w:szCs w:val="24"/>
        </w:rPr>
        <w:t xml:space="preserve">Gharbi H. et </w:t>
      </w:r>
      <w:proofErr w:type="spellStart"/>
      <w:r w:rsidR="00E4593B" w:rsidRPr="00E4593B">
        <w:rPr>
          <w:rFonts w:ascii="Arial" w:hAnsi="Arial" w:cs="Arial"/>
          <w:sz w:val="24"/>
          <w:szCs w:val="24"/>
        </w:rPr>
        <w:t>Sahut</w:t>
      </w:r>
      <w:proofErr w:type="spellEnd"/>
      <w:r w:rsidR="00E4593B" w:rsidRPr="00E4593B">
        <w:rPr>
          <w:rFonts w:ascii="Arial" w:hAnsi="Arial" w:cs="Arial"/>
          <w:sz w:val="24"/>
          <w:szCs w:val="24"/>
        </w:rPr>
        <w:t xml:space="preserve"> J.</w:t>
      </w:r>
      <w:r w:rsidR="002F657A">
        <w:rPr>
          <w:rFonts w:ascii="Arial" w:hAnsi="Arial" w:cs="Arial"/>
          <w:sz w:val="24"/>
          <w:szCs w:val="24"/>
        </w:rPr>
        <w:t>,</w:t>
      </w:r>
      <w:r w:rsidR="00E4593B" w:rsidRPr="00E4593B">
        <w:rPr>
          <w:rFonts w:ascii="Arial" w:hAnsi="Arial" w:cs="Arial"/>
          <w:sz w:val="24"/>
          <w:szCs w:val="24"/>
        </w:rPr>
        <w:t>2010)</w:t>
      </w:r>
      <w:r w:rsidR="001E1928">
        <w:rPr>
          <w:rFonts w:ascii="Arial" w:hAnsi="Arial" w:cs="Arial"/>
          <w:sz w:val="24"/>
          <w:szCs w:val="24"/>
        </w:rPr>
        <w:t xml:space="preserve">, avec une importante segmentation </w:t>
      </w:r>
      <w:r w:rsidR="00364377">
        <w:rPr>
          <w:rFonts w:ascii="Arial" w:hAnsi="Arial" w:cs="Arial"/>
          <w:sz w:val="24"/>
          <w:szCs w:val="24"/>
        </w:rPr>
        <w:t xml:space="preserve">entre les </w:t>
      </w:r>
      <w:r w:rsidR="001E1928">
        <w:rPr>
          <w:rFonts w:ascii="Arial" w:hAnsi="Arial" w:cs="Arial"/>
          <w:sz w:val="24"/>
          <w:szCs w:val="24"/>
        </w:rPr>
        <w:t>investisseurs institutionnels de court terme</w:t>
      </w:r>
      <w:r w:rsidR="008F4C69">
        <w:rPr>
          <w:rFonts w:ascii="Arial" w:hAnsi="Arial" w:cs="Arial"/>
          <w:sz w:val="24"/>
          <w:szCs w:val="24"/>
        </w:rPr>
        <w:t xml:space="preserve">, d’une part </w:t>
      </w:r>
      <w:r w:rsidR="00DC60D6">
        <w:rPr>
          <w:rFonts w:ascii="Arial" w:hAnsi="Arial" w:cs="Arial"/>
          <w:sz w:val="24"/>
          <w:szCs w:val="24"/>
        </w:rPr>
        <w:t xml:space="preserve">et </w:t>
      </w:r>
      <w:r w:rsidR="00364377">
        <w:rPr>
          <w:rFonts w:ascii="Arial" w:hAnsi="Arial" w:cs="Arial"/>
          <w:sz w:val="24"/>
          <w:szCs w:val="24"/>
        </w:rPr>
        <w:t xml:space="preserve">les </w:t>
      </w:r>
      <w:r w:rsidR="00DC60D6">
        <w:rPr>
          <w:rFonts w:ascii="Arial" w:hAnsi="Arial" w:cs="Arial"/>
          <w:sz w:val="24"/>
          <w:szCs w:val="24"/>
        </w:rPr>
        <w:t>investisseurs institutionnels de long terme</w:t>
      </w:r>
      <w:r w:rsidR="008F4C69">
        <w:rPr>
          <w:rFonts w:ascii="Arial" w:hAnsi="Arial" w:cs="Arial"/>
          <w:sz w:val="24"/>
          <w:szCs w:val="24"/>
        </w:rPr>
        <w:t>, d’autre part</w:t>
      </w:r>
      <w:r w:rsidR="00DC60D6">
        <w:rPr>
          <w:rFonts w:ascii="Arial" w:hAnsi="Arial" w:cs="Arial"/>
          <w:sz w:val="24"/>
          <w:szCs w:val="24"/>
        </w:rPr>
        <w:t>. Dans le premier cas, les investisseurs présenteraient des niveaux élevés de diversification</w:t>
      </w:r>
      <w:r w:rsidR="00A7073D">
        <w:rPr>
          <w:rFonts w:ascii="Arial" w:hAnsi="Arial" w:cs="Arial"/>
          <w:sz w:val="24"/>
          <w:szCs w:val="24"/>
        </w:rPr>
        <w:t xml:space="preserve"> en prenant de</w:t>
      </w:r>
      <w:r w:rsidR="004A2E4C">
        <w:rPr>
          <w:rFonts w:ascii="Arial" w:hAnsi="Arial" w:cs="Arial"/>
          <w:sz w:val="24"/>
          <w:szCs w:val="24"/>
        </w:rPr>
        <w:t>s</w:t>
      </w:r>
      <w:r w:rsidR="00A7073D">
        <w:rPr>
          <w:rFonts w:ascii="Arial" w:hAnsi="Arial" w:cs="Arial"/>
          <w:sz w:val="24"/>
          <w:szCs w:val="24"/>
        </w:rPr>
        <w:t xml:space="preserve"> participation</w:t>
      </w:r>
      <w:r w:rsidR="00F129D7">
        <w:rPr>
          <w:rFonts w:ascii="Arial" w:hAnsi="Arial" w:cs="Arial"/>
          <w:sz w:val="24"/>
          <w:szCs w:val="24"/>
        </w:rPr>
        <w:t xml:space="preserve">s peu élevées </w:t>
      </w:r>
      <w:r w:rsidR="006266AD">
        <w:rPr>
          <w:rFonts w:ascii="Arial" w:hAnsi="Arial" w:cs="Arial"/>
          <w:sz w:val="24"/>
          <w:szCs w:val="24"/>
        </w:rPr>
        <w:t>– et donc relat</w:t>
      </w:r>
      <w:r w:rsidR="00233FCA">
        <w:rPr>
          <w:rFonts w:ascii="Arial" w:hAnsi="Arial" w:cs="Arial"/>
          <w:sz w:val="24"/>
          <w:szCs w:val="24"/>
        </w:rPr>
        <w:t xml:space="preserve">ivement liquides - </w:t>
      </w:r>
      <w:r w:rsidR="004A2E4C">
        <w:rPr>
          <w:rFonts w:ascii="Arial" w:hAnsi="Arial" w:cs="Arial"/>
          <w:sz w:val="24"/>
          <w:szCs w:val="24"/>
        </w:rPr>
        <w:t xml:space="preserve">au sein d’un nombre élevé d’entreprises </w:t>
      </w:r>
      <w:r w:rsidR="00F129D7">
        <w:rPr>
          <w:rFonts w:ascii="Arial" w:hAnsi="Arial" w:cs="Arial"/>
          <w:sz w:val="24"/>
          <w:szCs w:val="24"/>
        </w:rPr>
        <w:t>tandis que, dans le second cas, il s’agirait de prendre des</w:t>
      </w:r>
      <w:r w:rsidR="008C13CF">
        <w:rPr>
          <w:rFonts w:ascii="Arial" w:hAnsi="Arial" w:cs="Arial"/>
          <w:sz w:val="24"/>
          <w:szCs w:val="24"/>
        </w:rPr>
        <w:t xml:space="preserve"> participation</w:t>
      </w:r>
      <w:r w:rsidR="00456B9B">
        <w:rPr>
          <w:rFonts w:ascii="Arial" w:hAnsi="Arial" w:cs="Arial"/>
          <w:sz w:val="24"/>
          <w:szCs w:val="24"/>
        </w:rPr>
        <w:t>s</w:t>
      </w:r>
      <w:r w:rsidR="008C13CF">
        <w:rPr>
          <w:rFonts w:ascii="Arial" w:hAnsi="Arial" w:cs="Arial"/>
          <w:sz w:val="24"/>
          <w:szCs w:val="24"/>
        </w:rPr>
        <w:t xml:space="preserve"> </w:t>
      </w:r>
      <w:r w:rsidR="00456B9B">
        <w:rPr>
          <w:rFonts w:ascii="Arial" w:hAnsi="Arial" w:cs="Arial"/>
          <w:sz w:val="24"/>
          <w:szCs w:val="24"/>
        </w:rPr>
        <w:t>importante</w:t>
      </w:r>
      <w:r w:rsidR="008C13CF">
        <w:rPr>
          <w:rFonts w:ascii="Arial" w:hAnsi="Arial" w:cs="Arial"/>
          <w:sz w:val="24"/>
          <w:szCs w:val="24"/>
        </w:rPr>
        <w:t xml:space="preserve">s </w:t>
      </w:r>
      <w:r w:rsidR="00233FCA">
        <w:rPr>
          <w:rFonts w:ascii="Arial" w:hAnsi="Arial" w:cs="Arial"/>
          <w:sz w:val="24"/>
          <w:szCs w:val="24"/>
        </w:rPr>
        <w:t xml:space="preserve">– peu liquides - </w:t>
      </w:r>
      <w:r w:rsidR="008C13CF">
        <w:rPr>
          <w:rFonts w:ascii="Arial" w:hAnsi="Arial" w:cs="Arial"/>
          <w:sz w:val="24"/>
          <w:szCs w:val="24"/>
        </w:rPr>
        <w:t>dans un nombre limité d’entreprises.</w:t>
      </w:r>
      <w:r w:rsidR="00456B9B">
        <w:rPr>
          <w:rFonts w:ascii="Arial" w:hAnsi="Arial" w:cs="Arial"/>
          <w:sz w:val="24"/>
          <w:szCs w:val="24"/>
        </w:rPr>
        <w:t xml:space="preserve"> Dans cette configuration, il y aurait </w:t>
      </w:r>
      <w:r w:rsidR="00BD5D4D">
        <w:rPr>
          <w:rFonts w:ascii="Arial" w:hAnsi="Arial" w:cs="Arial"/>
          <w:sz w:val="24"/>
          <w:szCs w:val="24"/>
        </w:rPr>
        <w:t xml:space="preserve">donc </w:t>
      </w:r>
      <w:r w:rsidR="00456B9B">
        <w:rPr>
          <w:rFonts w:ascii="Arial" w:hAnsi="Arial" w:cs="Arial"/>
          <w:sz w:val="24"/>
          <w:szCs w:val="24"/>
        </w:rPr>
        <w:t>un</w:t>
      </w:r>
      <w:r w:rsidR="00BD5D4D">
        <w:rPr>
          <w:rFonts w:ascii="Arial" w:hAnsi="Arial" w:cs="Arial"/>
          <w:sz w:val="24"/>
          <w:szCs w:val="24"/>
        </w:rPr>
        <w:t xml:space="preserve">e </w:t>
      </w:r>
      <w:r w:rsidR="00002F60">
        <w:rPr>
          <w:rFonts w:ascii="Arial" w:hAnsi="Arial" w:cs="Arial"/>
          <w:sz w:val="24"/>
          <w:szCs w:val="24"/>
        </w:rPr>
        <w:t>corrélation très fort</w:t>
      </w:r>
      <w:r w:rsidR="00BD5D4D">
        <w:rPr>
          <w:rFonts w:ascii="Arial" w:hAnsi="Arial" w:cs="Arial"/>
          <w:sz w:val="24"/>
          <w:szCs w:val="24"/>
        </w:rPr>
        <w:t>e</w:t>
      </w:r>
      <w:r w:rsidR="00002F60">
        <w:rPr>
          <w:rFonts w:ascii="Arial" w:hAnsi="Arial" w:cs="Arial"/>
          <w:sz w:val="24"/>
          <w:szCs w:val="24"/>
        </w:rPr>
        <w:t xml:space="preserve"> entre le dégagement de valeur des entreprises sous contrôle </w:t>
      </w:r>
      <w:r w:rsidR="007E7120">
        <w:rPr>
          <w:rFonts w:ascii="Arial" w:hAnsi="Arial" w:cs="Arial"/>
          <w:sz w:val="24"/>
          <w:szCs w:val="24"/>
        </w:rPr>
        <w:t xml:space="preserve">et celui </w:t>
      </w:r>
      <w:r w:rsidR="008B552B">
        <w:rPr>
          <w:rFonts w:ascii="Arial" w:hAnsi="Arial" w:cs="Arial"/>
          <w:sz w:val="24"/>
          <w:szCs w:val="24"/>
        </w:rPr>
        <w:t xml:space="preserve">directement </w:t>
      </w:r>
      <w:r w:rsidR="007E7120">
        <w:rPr>
          <w:rFonts w:ascii="Arial" w:hAnsi="Arial" w:cs="Arial"/>
          <w:sz w:val="24"/>
          <w:szCs w:val="24"/>
        </w:rPr>
        <w:t>issu des investisseurs.</w:t>
      </w:r>
      <w:r w:rsidR="00A36F93">
        <w:rPr>
          <w:rFonts w:ascii="Arial" w:hAnsi="Arial" w:cs="Arial"/>
          <w:sz w:val="24"/>
          <w:szCs w:val="24"/>
        </w:rPr>
        <w:t xml:space="preserve"> En fonction de ces différents éléments, </w:t>
      </w:r>
      <w:r w:rsidR="00C52EEB">
        <w:rPr>
          <w:rFonts w:ascii="Arial" w:hAnsi="Arial" w:cs="Arial"/>
          <w:sz w:val="24"/>
          <w:szCs w:val="24"/>
        </w:rPr>
        <w:t>les investisseurs institutionnels de long terme seraient beaucoup plus pr</w:t>
      </w:r>
      <w:r w:rsidR="00B90149">
        <w:rPr>
          <w:rFonts w:ascii="Arial" w:hAnsi="Arial" w:cs="Arial"/>
          <w:sz w:val="24"/>
          <w:szCs w:val="24"/>
        </w:rPr>
        <w:t xml:space="preserve">o-actifs </w:t>
      </w:r>
      <w:r w:rsidR="00810552">
        <w:rPr>
          <w:rFonts w:ascii="Arial" w:hAnsi="Arial" w:cs="Arial"/>
          <w:sz w:val="24"/>
          <w:szCs w:val="24"/>
        </w:rPr>
        <w:t xml:space="preserve">et pressants </w:t>
      </w:r>
      <w:r w:rsidR="00B90149">
        <w:rPr>
          <w:rFonts w:ascii="Arial" w:hAnsi="Arial" w:cs="Arial"/>
          <w:sz w:val="24"/>
          <w:szCs w:val="24"/>
        </w:rPr>
        <w:t>que ceux de court terme qui préfère</w:t>
      </w:r>
      <w:r w:rsidR="0019404C">
        <w:rPr>
          <w:rFonts w:ascii="Arial" w:hAnsi="Arial" w:cs="Arial"/>
          <w:sz w:val="24"/>
          <w:szCs w:val="24"/>
        </w:rPr>
        <w:t>raie</w:t>
      </w:r>
      <w:r w:rsidR="00B90149">
        <w:rPr>
          <w:rFonts w:ascii="Arial" w:hAnsi="Arial" w:cs="Arial"/>
          <w:sz w:val="24"/>
          <w:szCs w:val="24"/>
        </w:rPr>
        <w:t xml:space="preserve">nt se retirer du capital plutôt </w:t>
      </w:r>
      <w:r w:rsidR="00995586">
        <w:rPr>
          <w:rFonts w:ascii="Arial" w:hAnsi="Arial" w:cs="Arial"/>
          <w:sz w:val="24"/>
          <w:szCs w:val="24"/>
        </w:rPr>
        <w:t xml:space="preserve">qu’essayer de peser sur les choix </w:t>
      </w:r>
      <w:r w:rsidR="00407414">
        <w:rPr>
          <w:rFonts w:ascii="Arial" w:hAnsi="Arial" w:cs="Arial"/>
          <w:sz w:val="24"/>
          <w:szCs w:val="24"/>
        </w:rPr>
        <w:t>stratégiques de l’entreprise.</w:t>
      </w:r>
      <w:r w:rsidR="00970A5B">
        <w:rPr>
          <w:rFonts w:ascii="Arial" w:hAnsi="Arial" w:cs="Arial"/>
          <w:sz w:val="24"/>
          <w:szCs w:val="24"/>
        </w:rPr>
        <w:t xml:space="preserve"> Dans notre esprit, cette catégorisation souffre </w:t>
      </w:r>
      <w:r w:rsidR="004C1C0D">
        <w:rPr>
          <w:rFonts w:ascii="Arial" w:hAnsi="Arial" w:cs="Arial"/>
          <w:sz w:val="24"/>
          <w:szCs w:val="24"/>
        </w:rPr>
        <w:t xml:space="preserve">de </w:t>
      </w:r>
      <w:r w:rsidR="00970A5B">
        <w:rPr>
          <w:rFonts w:ascii="Arial" w:hAnsi="Arial" w:cs="Arial"/>
          <w:sz w:val="24"/>
          <w:szCs w:val="24"/>
        </w:rPr>
        <w:t xml:space="preserve">deux limites principales. </w:t>
      </w:r>
      <w:r w:rsidR="000E34B3">
        <w:rPr>
          <w:rFonts w:ascii="Arial" w:hAnsi="Arial" w:cs="Arial"/>
          <w:sz w:val="24"/>
          <w:szCs w:val="24"/>
        </w:rPr>
        <w:t>Premièrement</w:t>
      </w:r>
      <w:r w:rsidR="00970A5B">
        <w:rPr>
          <w:rFonts w:ascii="Arial" w:hAnsi="Arial" w:cs="Arial"/>
          <w:sz w:val="24"/>
          <w:szCs w:val="24"/>
        </w:rPr>
        <w:t xml:space="preserve">, elle </w:t>
      </w:r>
      <w:r w:rsidR="000E34B3">
        <w:rPr>
          <w:rFonts w:ascii="Arial" w:hAnsi="Arial" w:cs="Arial"/>
          <w:sz w:val="24"/>
          <w:szCs w:val="24"/>
        </w:rPr>
        <w:t xml:space="preserve">laisse </w:t>
      </w:r>
      <w:r w:rsidR="000E34B3" w:rsidRPr="000E34B3">
        <w:rPr>
          <w:rFonts w:ascii="Arial" w:hAnsi="Arial" w:cs="Arial"/>
          <w:sz w:val="24"/>
          <w:szCs w:val="24"/>
        </w:rPr>
        <w:t xml:space="preserve">de côté des possibilités de sortie des investisseurs – même si colorés de long terme - lorsque toute la rente boursière recherchée a été extraite, et ce sans considération du temps de détention. La qualification des investisseurs institutionnels tournerait dès lors plus autour du débat des mesures utilisées pour parvenir à accroître la valeur de l’entreprise qu’autour de la question du temps de détention </w:t>
      </w:r>
      <w:r w:rsidR="006F66F8">
        <w:rPr>
          <w:rFonts w:ascii="Arial" w:hAnsi="Arial" w:cs="Arial"/>
          <w:sz w:val="24"/>
          <w:szCs w:val="24"/>
        </w:rPr>
        <w:t>en tant que tel</w:t>
      </w:r>
      <w:r w:rsidR="000E34B3" w:rsidRPr="000E34B3">
        <w:rPr>
          <w:rFonts w:ascii="Arial" w:hAnsi="Arial" w:cs="Arial"/>
          <w:sz w:val="24"/>
          <w:szCs w:val="24"/>
        </w:rPr>
        <w:t>.</w:t>
      </w:r>
      <w:r w:rsidR="006F66F8">
        <w:rPr>
          <w:rFonts w:ascii="Arial" w:hAnsi="Arial" w:cs="Arial"/>
          <w:sz w:val="24"/>
          <w:szCs w:val="24"/>
        </w:rPr>
        <w:t xml:space="preserve"> Deuxièmement, </w:t>
      </w:r>
      <w:r w:rsidR="00EF243A">
        <w:rPr>
          <w:rFonts w:ascii="Arial" w:hAnsi="Arial" w:cs="Arial"/>
          <w:sz w:val="24"/>
          <w:szCs w:val="24"/>
        </w:rPr>
        <w:t xml:space="preserve">elle ne prend pas en considération les </w:t>
      </w:r>
      <w:r w:rsidR="00AD707E">
        <w:rPr>
          <w:rFonts w:ascii="Arial" w:hAnsi="Arial" w:cs="Arial"/>
          <w:sz w:val="24"/>
          <w:szCs w:val="24"/>
        </w:rPr>
        <w:t>dynamiques actionnariales au sein des structures de propriété</w:t>
      </w:r>
      <w:r w:rsidR="00846C3A">
        <w:rPr>
          <w:rFonts w:ascii="Arial" w:hAnsi="Arial" w:cs="Arial"/>
          <w:sz w:val="24"/>
          <w:szCs w:val="24"/>
        </w:rPr>
        <w:t xml:space="preserve"> et l’évolution </w:t>
      </w:r>
      <w:r w:rsidR="00D6459F">
        <w:rPr>
          <w:rFonts w:ascii="Arial" w:hAnsi="Arial" w:cs="Arial"/>
          <w:sz w:val="24"/>
          <w:szCs w:val="24"/>
        </w:rPr>
        <w:t xml:space="preserve">concomitante </w:t>
      </w:r>
      <w:r w:rsidR="00846C3A">
        <w:rPr>
          <w:rFonts w:ascii="Arial" w:hAnsi="Arial" w:cs="Arial"/>
          <w:sz w:val="24"/>
          <w:szCs w:val="24"/>
        </w:rPr>
        <w:t>des rapports de force</w:t>
      </w:r>
      <w:r w:rsidR="00EF243A">
        <w:rPr>
          <w:rFonts w:ascii="Arial" w:hAnsi="Arial" w:cs="Arial"/>
          <w:sz w:val="24"/>
          <w:szCs w:val="24"/>
        </w:rPr>
        <w:t> : un investisseur</w:t>
      </w:r>
      <w:r w:rsidR="00200BF5">
        <w:rPr>
          <w:rFonts w:ascii="Arial" w:hAnsi="Arial" w:cs="Arial"/>
          <w:sz w:val="24"/>
          <w:szCs w:val="24"/>
        </w:rPr>
        <w:t xml:space="preserve">, </w:t>
      </w:r>
      <w:r w:rsidR="00EF243A">
        <w:rPr>
          <w:rFonts w:ascii="Arial" w:hAnsi="Arial" w:cs="Arial"/>
          <w:sz w:val="24"/>
          <w:szCs w:val="24"/>
        </w:rPr>
        <w:t>initia</w:t>
      </w:r>
      <w:r w:rsidR="00D34C06">
        <w:rPr>
          <w:rFonts w:ascii="Arial" w:hAnsi="Arial" w:cs="Arial"/>
          <w:sz w:val="24"/>
          <w:szCs w:val="24"/>
        </w:rPr>
        <w:t>lement, labellisé de court terme (en fonction de ses niveaux de détention)</w:t>
      </w:r>
      <w:r w:rsidR="009D2E7B">
        <w:rPr>
          <w:rFonts w:ascii="Arial" w:hAnsi="Arial" w:cs="Arial"/>
          <w:sz w:val="24"/>
          <w:szCs w:val="24"/>
        </w:rPr>
        <w:t xml:space="preserve">, </w:t>
      </w:r>
      <w:r w:rsidR="00200BF5">
        <w:rPr>
          <w:rFonts w:ascii="Arial" w:hAnsi="Arial" w:cs="Arial"/>
          <w:sz w:val="24"/>
          <w:szCs w:val="24"/>
        </w:rPr>
        <w:t xml:space="preserve">pourrait accroître ses </w:t>
      </w:r>
      <w:r w:rsidR="00EA4EAD">
        <w:rPr>
          <w:rFonts w:ascii="Arial" w:hAnsi="Arial" w:cs="Arial"/>
          <w:sz w:val="24"/>
          <w:szCs w:val="24"/>
        </w:rPr>
        <w:t xml:space="preserve">degrés de participation </w:t>
      </w:r>
      <w:r w:rsidR="00186308">
        <w:rPr>
          <w:rFonts w:ascii="Arial" w:hAnsi="Arial" w:cs="Arial"/>
          <w:sz w:val="24"/>
          <w:szCs w:val="24"/>
        </w:rPr>
        <w:t xml:space="preserve">et adopter une </w:t>
      </w:r>
      <w:r w:rsidR="006E0AED">
        <w:rPr>
          <w:rFonts w:ascii="Arial" w:hAnsi="Arial" w:cs="Arial"/>
          <w:sz w:val="24"/>
          <w:szCs w:val="24"/>
        </w:rPr>
        <w:t>pos</w:t>
      </w:r>
      <w:r w:rsidR="00186308">
        <w:rPr>
          <w:rFonts w:ascii="Arial" w:hAnsi="Arial" w:cs="Arial"/>
          <w:sz w:val="24"/>
          <w:szCs w:val="24"/>
        </w:rPr>
        <w:t xml:space="preserve">ture </w:t>
      </w:r>
      <w:r w:rsidR="00EA78B7">
        <w:rPr>
          <w:rFonts w:ascii="Arial" w:hAnsi="Arial" w:cs="Arial"/>
          <w:sz w:val="24"/>
          <w:szCs w:val="24"/>
        </w:rPr>
        <w:t>assimilable à</w:t>
      </w:r>
      <w:r w:rsidR="00186308">
        <w:rPr>
          <w:rFonts w:ascii="Arial" w:hAnsi="Arial" w:cs="Arial"/>
          <w:sz w:val="24"/>
          <w:szCs w:val="24"/>
        </w:rPr>
        <w:t xml:space="preserve"> celle des institutionnels de long terme</w:t>
      </w:r>
      <w:r w:rsidR="007B1A30">
        <w:rPr>
          <w:rFonts w:ascii="Arial" w:hAnsi="Arial" w:cs="Arial"/>
          <w:sz w:val="24"/>
          <w:szCs w:val="24"/>
        </w:rPr>
        <w:t xml:space="preserve"> (voir</w:t>
      </w:r>
      <w:r w:rsidR="009307A0">
        <w:rPr>
          <w:rFonts w:ascii="Arial" w:hAnsi="Arial" w:cs="Arial"/>
          <w:sz w:val="24"/>
          <w:szCs w:val="24"/>
        </w:rPr>
        <w:t xml:space="preserve"> </w:t>
      </w:r>
      <w:r w:rsidR="00BB7384">
        <w:rPr>
          <w:rFonts w:ascii="Arial" w:hAnsi="Arial" w:cs="Arial"/>
          <w:sz w:val="24"/>
          <w:szCs w:val="24"/>
        </w:rPr>
        <w:t xml:space="preserve">Kim W., Kim W., </w:t>
      </w:r>
      <w:proofErr w:type="spellStart"/>
      <w:r w:rsidR="009164A7">
        <w:rPr>
          <w:rFonts w:ascii="Arial" w:hAnsi="Arial" w:cs="Arial"/>
          <w:sz w:val="24"/>
          <w:szCs w:val="24"/>
        </w:rPr>
        <w:t>Kwon</w:t>
      </w:r>
      <w:proofErr w:type="spellEnd"/>
      <w:r w:rsidR="009164A7">
        <w:rPr>
          <w:rFonts w:ascii="Arial" w:hAnsi="Arial" w:cs="Arial"/>
          <w:sz w:val="24"/>
          <w:szCs w:val="24"/>
        </w:rPr>
        <w:t xml:space="preserve"> K., </w:t>
      </w:r>
      <w:r w:rsidR="009C6E3A">
        <w:rPr>
          <w:rFonts w:ascii="Arial" w:hAnsi="Arial" w:cs="Arial"/>
          <w:sz w:val="24"/>
          <w:szCs w:val="24"/>
        </w:rPr>
        <w:t>2009)</w:t>
      </w:r>
      <w:r w:rsidR="00186308">
        <w:rPr>
          <w:rFonts w:ascii="Arial" w:hAnsi="Arial" w:cs="Arial"/>
          <w:sz w:val="24"/>
          <w:szCs w:val="24"/>
        </w:rPr>
        <w:t>.</w:t>
      </w:r>
    </w:p>
    <w:p w14:paraId="254C9F44" w14:textId="2A6DEF8A" w:rsidR="007E7F06" w:rsidRPr="00A53ED3" w:rsidRDefault="00B7403A" w:rsidP="009307A0">
      <w:pPr>
        <w:spacing w:line="240" w:lineRule="auto"/>
        <w:ind w:left="708"/>
        <w:jc w:val="both"/>
        <w:rPr>
          <w:rFonts w:ascii="Arial" w:hAnsi="Arial" w:cs="Arial"/>
          <w:sz w:val="24"/>
          <w:szCs w:val="24"/>
        </w:rPr>
      </w:pPr>
      <w:r>
        <w:rPr>
          <w:rFonts w:ascii="Arial" w:hAnsi="Arial" w:cs="Arial"/>
          <w:sz w:val="24"/>
          <w:szCs w:val="24"/>
        </w:rPr>
        <w:t>Un autre effort</w:t>
      </w:r>
      <w:r w:rsidR="00203C8F">
        <w:rPr>
          <w:rFonts w:ascii="Arial" w:hAnsi="Arial" w:cs="Arial"/>
          <w:sz w:val="24"/>
          <w:szCs w:val="24"/>
        </w:rPr>
        <w:t xml:space="preserve"> de</w:t>
      </w:r>
      <w:r w:rsidR="00DA11DA" w:rsidRPr="00DA11DA">
        <w:rPr>
          <w:rFonts w:ascii="Arial" w:hAnsi="Arial" w:cs="Arial"/>
          <w:sz w:val="24"/>
          <w:szCs w:val="24"/>
        </w:rPr>
        <w:t xml:space="preserve"> classification</w:t>
      </w:r>
      <w:r w:rsidR="00203C8F">
        <w:rPr>
          <w:rFonts w:ascii="Arial" w:hAnsi="Arial" w:cs="Arial"/>
          <w:sz w:val="24"/>
          <w:szCs w:val="24"/>
        </w:rPr>
        <w:t xml:space="preserve"> a</w:t>
      </w:r>
      <w:r w:rsidR="00DA11DA" w:rsidRPr="00DA11DA">
        <w:rPr>
          <w:rFonts w:ascii="Arial" w:hAnsi="Arial" w:cs="Arial"/>
          <w:sz w:val="24"/>
          <w:szCs w:val="24"/>
        </w:rPr>
        <w:t xml:space="preserve"> également </w:t>
      </w:r>
      <w:r w:rsidR="00203C8F">
        <w:rPr>
          <w:rFonts w:ascii="Arial" w:hAnsi="Arial" w:cs="Arial"/>
          <w:sz w:val="24"/>
          <w:szCs w:val="24"/>
        </w:rPr>
        <w:t xml:space="preserve">porté sur </w:t>
      </w:r>
      <w:r w:rsidR="00DA11DA" w:rsidRPr="00DA11DA">
        <w:rPr>
          <w:rFonts w:ascii="Arial" w:hAnsi="Arial" w:cs="Arial"/>
          <w:sz w:val="24"/>
          <w:szCs w:val="24"/>
        </w:rPr>
        <w:t>l’analyse des contours des investisseurs institutionnels</w:t>
      </w:r>
      <w:r w:rsidR="00203C8F">
        <w:rPr>
          <w:rFonts w:ascii="Arial" w:hAnsi="Arial" w:cs="Arial"/>
          <w:sz w:val="24"/>
          <w:szCs w:val="24"/>
        </w:rPr>
        <w:t>,</w:t>
      </w:r>
      <w:r w:rsidR="00DA11DA" w:rsidRPr="00DA11DA">
        <w:rPr>
          <w:rFonts w:ascii="Arial" w:hAnsi="Arial" w:cs="Arial"/>
          <w:sz w:val="24"/>
          <w:szCs w:val="24"/>
        </w:rPr>
        <w:t xml:space="preserve"> sur base de l</w:t>
      </w:r>
      <w:r w:rsidR="00E627CD">
        <w:rPr>
          <w:rFonts w:ascii="Arial" w:hAnsi="Arial" w:cs="Arial"/>
          <w:sz w:val="24"/>
          <w:szCs w:val="24"/>
        </w:rPr>
        <w:t xml:space="preserve">eur </w:t>
      </w:r>
      <w:r w:rsidR="00DA11DA" w:rsidRPr="00DA11DA">
        <w:rPr>
          <w:rFonts w:ascii="Arial" w:hAnsi="Arial" w:cs="Arial"/>
          <w:sz w:val="24"/>
          <w:szCs w:val="24"/>
        </w:rPr>
        <w:t>origine géographique (Cao L., Du Y., Hansen O., 2017, Han L., Zheng Q., Yin L., 2015).</w:t>
      </w:r>
      <w:r w:rsidR="00DB7B75">
        <w:rPr>
          <w:rFonts w:ascii="Arial" w:hAnsi="Arial" w:cs="Arial"/>
          <w:sz w:val="24"/>
          <w:szCs w:val="24"/>
        </w:rPr>
        <w:t xml:space="preserve"> </w:t>
      </w:r>
      <w:r w:rsidR="00AC521F">
        <w:rPr>
          <w:rFonts w:ascii="Arial" w:hAnsi="Arial" w:cs="Arial"/>
          <w:sz w:val="24"/>
          <w:szCs w:val="24"/>
        </w:rPr>
        <w:t>C</w:t>
      </w:r>
      <w:r w:rsidR="00AC756C">
        <w:rPr>
          <w:rFonts w:ascii="Arial" w:hAnsi="Arial" w:cs="Arial"/>
          <w:sz w:val="24"/>
          <w:szCs w:val="24"/>
        </w:rPr>
        <w:t xml:space="preserve">ertaines études </w:t>
      </w:r>
      <w:r w:rsidR="00AC521F">
        <w:rPr>
          <w:rFonts w:ascii="Arial" w:hAnsi="Arial" w:cs="Arial"/>
          <w:sz w:val="24"/>
          <w:szCs w:val="24"/>
        </w:rPr>
        <w:t>(</w:t>
      </w:r>
      <w:bookmarkStart w:id="0" w:name="_Hlk55925755"/>
      <w:proofErr w:type="spellStart"/>
      <w:r w:rsidR="00AC521F">
        <w:rPr>
          <w:rFonts w:ascii="Arial" w:hAnsi="Arial" w:cs="Arial"/>
          <w:sz w:val="24"/>
          <w:szCs w:val="24"/>
        </w:rPr>
        <w:t>Aabo</w:t>
      </w:r>
      <w:proofErr w:type="spellEnd"/>
      <w:r w:rsidR="00AC521F">
        <w:rPr>
          <w:rFonts w:ascii="Arial" w:hAnsi="Arial" w:cs="Arial"/>
          <w:sz w:val="24"/>
          <w:szCs w:val="24"/>
        </w:rPr>
        <w:t xml:space="preserve"> T., Lee S., </w:t>
      </w:r>
      <w:proofErr w:type="spellStart"/>
      <w:r w:rsidR="000A6555">
        <w:rPr>
          <w:rFonts w:ascii="Arial" w:hAnsi="Arial" w:cs="Arial"/>
          <w:sz w:val="24"/>
          <w:szCs w:val="24"/>
        </w:rPr>
        <w:t>Pantzalis</w:t>
      </w:r>
      <w:proofErr w:type="spellEnd"/>
      <w:r w:rsidR="000A6555">
        <w:rPr>
          <w:rFonts w:ascii="Arial" w:hAnsi="Arial" w:cs="Arial"/>
          <w:sz w:val="24"/>
          <w:szCs w:val="24"/>
        </w:rPr>
        <w:t xml:space="preserve"> C., Park J.</w:t>
      </w:r>
      <w:r w:rsidR="003D56EF">
        <w:rPr>
          <w:rFonts w:ascii="Arial" w:hAnsi="Arial" w:cs="Arial"/>
          <w:sz w:val="24"/>
          <w:szCs w:val="24"/>
        </w:rPr>
        <w:t xml:space="preserve"> (2020)</w:t>
      </w:r>
      <w:bookmarkEnd w:id="0"/>
      <w:r w:rsidR="003D56EF">
        <w:rPr>
          <w:rFonts w:ascii="Arial" w:hAnsi="Arial" w:cs="Arial"/>
          <w:sz w:val="24"/>
          <w:szCs w:val="24"/>
        </w:rPr>
        <w:t xml:space="preserve">) </w:t>
      </w:r>
      <w:r w:rsidR="00AC756C">
        <w:rPr>
          <w:rFonts w:ascii="Arial" w:hAnsi="Arial" w:cs="Arial"/>
          <w:sz w:val="24"/>
          <w:szCs w:val="24"/>
        </w:rPr>
        <w:t>démontrent que les institutionnels locaux seraient moins victimes de phénomènes d’asymétrie informationnelle que des investisseurs plus éloignés</w:t>
      </w:r>
      <w:r w:rsidR="00675F0A">
        <w:rPr>
          <w:rFonts w:ascii="Arial" w:hAnsi="Arial" w:cs="Arial"/>
          <w:sz w:val="24"/>
          <w:szCs w:val="24"/>
        </w:rPr>
        <w:t xml:space="preserve"> pour lesquels les problèmes </w:t>
      </w:r>
      <w:r w:rsidR="00022BDE">
        <w:rPr>
          <w:rFonts w:ascii="Arial" w:hAnsi="Arial" w:cs="Arial"/>
          <w:sz w:val="24"/>
          <w:szCs w:val="24"/>
        </w:rPr>
        <w:t>d’agence seraient plus prégnants (</w:t>
      </w:r>
      <w:r w:rsidR="00022BDE" w:rsidRPr="00022BDE">
        <w:rPr>
          <w:rFonts w:ascii="Arial" w:hAnsi="Arial" w:cs="Arial"/>
          <w:sz w:val="24"/>
          <w:szCs w:val="24"/>
        </w:rPr>
        <w:t>Boubaker</w:t>
      </w:r>
      <w:r w:rsidR="00022BDE">
        <w:rPr>
          <w:rFonts w:ascii="Arial" w:hAnsi="Arial" w:cs="Arial"/>
          <w:sz w:val="24"/>
          <w:szCs w:val="24"/>
        </w:rPr>
        <w:t xml:space="preserve"> S., </w:t>
      </w:r>
      <w:proofErr w:type="spellStart"/>
      <w:r w:rsidR="00022BDE" w:rsidRPr="00022BDE">
        <w:rPr>
          <w:rFonts w:ascii="Arial" w:hAnsi="Arial" w:cs="Arial"/>
          <w:sz w:val="24"/>
          <w:szCs w:val="24"/>
        </w:rPr>
        <w:t>Derouich</w:t>
      </w:r>
      <w:r w:rsidR="001D0137">
        <w:rPr>
          <w:rFonts w:ascii="Arial" w:hAnsi="Arial" w:cs="Arial"/>
          <w:sz w:val="24"/>
          <w:szCs w:val="24"/>
        </w:rPr>
        <w:t>i</w:t>
      </w:r>
      <w:proofErr w:type="spellEnd"/>
      <w:r w:rsidR="001D0137">
        <w:rPr>
          <w:rFonts w:ascii="Arial" w:hAnsi="Arial" w:cs="Arial"/>
          <w:sz w:val="24"/>
          <w:szCs w:val="24"/>
        </w:rPr>
        <w:t xml:space="preserve"> I., </w:t>
      </w:r>
      <w:proofErr w:type="spellStart"/>
      <w:r w:rsidR="00022BDE" w:rsidRPr="00022BDE">
        <w:rPr>
          <w:rFonts w:ascii="Arial" w:hAnsi="Arial" w:cs="Arial"/>
          <w:sz w:val="24"/>
          <w:szCs w:val="24"/>
        </w:rPr>
        <w:t>Lasfer</w:t>
      </w:r>
      <w:proofErr w:type="spellEnd"/>
      <w:r w:rsidR="001D0137">
        <w:rPr>
          <w:rFonts w:ascii="Arial" w:hAnsi="Arial" w:cs="Arial"/>
          <w:sz w:val="24"/>
          <w:szCs w:val="24"/>
        </w:rPr>
        <w:t xml:space="preserve"> M., 2015)</w:t>
      </w:r>
      <w:r w:rsidR="00AC756C">
        <w:rPr>
          <w:rFonts w:ascii="Arial" w:hAnsi="Arial" w:cs="Arial"/>
          <w:sz w:val="24"/>
          <w:szCs w:val="24"/>
        </w:rPr>
        <w:t>.</w:t>
      </w:r>
      <w:r w:rsidR="009C5C25">
        <w:rPr>
          <w:rFonts w:ascii="Arial" w:hAnsi="Arial" w:cs="Arial"/>
          <w:sz w:val="24"/>
          <w:szCs w:val="24"/>
        </w:rPr>
        <w:t xml:space="preserve"> </w:t>
      </w:r>
    </w:p>
    <w:p w14:paraId="5DB633F8" w14:textId="465E58EC" w:rsidR="00584992" w:rsidRDefault="00714C2C" w:rsidP="005C2A31">
      <w:pPr>
        <w:pStyle w:val="Paragraphedeliste"/>
        <w:numPr>
          <w:ilvl w:val="0"/>
          <w:numId w:val="1"/>
        </w:numPr>
        <w:spacing w:line="240" w:lineRule="auto"/>
        <w:jc w:val="both"/>
        <w:rPr>
          <w:rFonts w:ascii="Arial" w:hAnsi="Arial" w:cs="Arial"/>
          <w:sz w:val="28"/>
          <w:szCs w:val="28"/>
          <w:u w:val="single"/>
        </w:rPr>
      </w:pPr>
      <w:r w:rsidRPr="007D32F4">
        <w:rPr>
          <w:rFonts w:ascii="Arial" w:hAnsi="Arial" w:cs="Arial"/>
          <w:sz w:val="28"/>
          <w:szCs w:val="28"/>
          <w:u w:val="single"/>
        </w:rPr>
        <w:t>L’activisme des investisseurs institutionnels</w:t>
      </w:r>
      <w:r w:rsidR="002B251C">
        <w:rPr>
          <w:rFonts w:ascii="Arial" w:hAnsi="Arial" w:cs="Arial"/>
          <w:sz w:val="28"/>
          <w:szCs w:val="28"/>
          <w:u w:val="single"/>
        </w:rPr>
        <w:t xml:space="preserve"> de long terme</w:t>
      </w:r>
      <w:r w:rsidR="0011556E" w:rsidRPr="007D32F4">
        <w:rPr>
          <w:rFonts w:ascii="Arial" w:hAnsi="Arial" w:cs="Arial"/>
          <w:sz w:val="28"/>
          <w:szCs w:val="28"/>
          <w:u w:val="single"/>
        </w:rPr>
        <w:t xml:space="preserve"> </w:t>
      </w:r>
    </w:p>
    <w:p w14:paraId="4DE574DD" w14:textId="77777777" w:rsidR="00AD7A32" w:rsidRDefault="00AD7A32" w:rsidP="00AD7A32">
      <w:pPr>
        <w:pStyle w:val="Paragraphedeliste"/>
        <w:spacing w:line="240" w:lineRule="auto"/>
        <w:jc w:val="both"/>
        <w:rPr>
          <w:rFonts w:ascii="Arial" w:hAnsi="Arial" w:cs="Arial"/>
          <w:sz w:val="24"/>
          <w:szCs w:val="24"/>
        </w:rPr>
      </w:pPr>
    </w:p>
    <w:p w14:paraId="55B71BCE" w14:textId="32D64360" w:rsidR="00AD7A32" w:rsidRDefault="00AD7A32" w:rsidP="00AD7A32">
      <w:pPr>
        <w:pStyle w:val="Paragraphedeliste"/>
        <w:spacing w:line="240" w:lineRule="auto"/>
        <w:jc w:val="both"/>
        <w:rPr>
          <w:rFonts w:ascii="Arial" w:hAnsi="Arial" w:cs="Arial"/>
          <w:sz w:val="24"/>
          <w:szCs w:val="24"/>
        </w:rPr>
      </w:pPr>
      <w:r w:rsidRPr="00AD7A32">
        <w:rPr>
          <w:rFonts w:ascii="Arial" w:hAnsi="Arial" w:cs="Arial"/>
          <w:sz w:val="24"/>
          <w:szCs w:val="24"/>
        </w:rPr>
        <w:lastRenderedPageBreak/>
        <w:t xml:space="preserve">La capacité des investisseurs institutionnels à faire évoluer les modèles entrepreneuriaux </w:t>
      </w:r>
      <w:r w:rsidR="00127E95">
        <w:rPr>
          <w:rFonts w:ascii="Arial" w:hAnsi="Arial" w:cs="Arial"/>
          <w:sz w:val="24"/>
          <w:szCs w:val="24"/>
        </w:rPr>
        <w:t xml:space="preserve">et financiers </w:t>
      </w:r>
      <w:r w:rsidR="009307A0">
        <w:rPr>
          <w:rFonts w:ascii="Arial" w:hAnsi="Arial" w:cs="Arial"/>
          <w:sz w:val="24"/>
          <w:szCs w:val="24"/>
        </w:rPr>
        <w:t>a été</w:t>
      </w:r>
      <w:r w:rsidRPr="00AD7A32">
        <w:rPr>
          <w:rFonts w:ascii="Arial" w:hAnsi="Arial" w:cs="Arial"/>
          <w:sz w:val="24"/>
          <w:szCs w:val="24"/>
        </w:rPr>
        <w:t xml:space="preserve"> largement documentée et concerne </w:t>
      </w:r>
      <w:r w:rsidR="000A5FD9">
        <w:rPr>
          <w:rFonts w:ascii="Arial" w:hAnsi="Arial" w:cs="Arial"/>
          <w:sz w:val="24"/>
          <w:szCs w:val="24"/>
        </w:rPr>
        <w:t>une pluralité d’aspects :</w:t>
      </w:r>
      <w:r w:rsidRPr="00AD7A32">
        <w:rPr>
          <w:rFonts w:ascii="Arial" w:hAnsi="Arial" w:cs="Arial"/>
          <w:sz w:val="24"/>
          <w:szCs w:val="24"/>
        </w:rPr>
        <w:t xml:space="preserve"> l’innovation (</w:t>
      </w:r>
      <w:proofErr w:type="spellStart"/>
      <w:r w:rsidRPr="00AD7A32">
        <w:rPr>
          <w:rFonts w:ascii="Arial" w:hAnsi="Arial" w:cs="Arial"/>
          <w:sz w:val="24"/>
          <w:szCs w:val="24"/>
        </w:rPr>
        <w:t>Brav</w:t>
      </w:r>
      <w:proofErr w:type="spellEnd"/>
      <w:r w:rsidRPr="00AD7A32">
        <w:rPr>
          <w:rFonts w:ascii="Arial" w:hAnsi="Arial" w:cs="Arial"/>
          <w:sz w:val="24"/>
          <w:szCs w:val="24"/>
        </w:rPr>
        <w:t xml:space="preserve"> A., Wei J., Song M., Xuan T., 2018)</w:t>
      </w:r>
      <w:r w:rsidR="000A5FD9">
        <w:rPr>
          <w:rFonts w:ascii="Arial" w:hAnsi="Arial" w:cs="Arial"/>
          <w:sz w:val="24"/>
          <w:szCs w:val="24"/>
        </w:rPr>
        <w:t>, l’</w:t>
      </w:r>
      <w:r w:rsidR="007C4BBA">
        <w:rPr>
          <w:rFonts w:ascii="Arial" w:hAnsi="Arial" w:cs="Arial"/>
          <w:sz w:val="24"/>
          <w:szCs w:val="24"/>
        </w:rPr>
        <w:t xml:space="preserve">éventuelle </w:t>
      </w:r>
      <w:r w:rsidRPr="00AD7A32">
        <w:rPr>
          <w:rFonts w:ascii="Arial" w:hAnsi="Arial" w:cs="Arial"/>
          <w:sz w:val="24"/>
          <w:szCs w:val="24"/>
        </w:rPr>
        <w:t>inscription</w:t>
      </w:r>
      <w:r w:rsidR="007C4BBA">
        <w:rPr>
          <w:rFonts w:ascii="Arial" w:hAnsi="Arial" w:cs="Arial"/>
          <w:sz w:val="24"/>
          <w:szCs w:val="24"/>
        </w:rPr>
        <w:t xml:space="preserve"> </w:t>
      </w:r>
      <w:r w:rsidRPr="00AD7A32">
        <w:rPr>
          <w:rFonts w:ascii="Arial" w:hAnsi="Arial" w:cs="Arial"/>
          <w:sz w:val="24"/>
          <w:szCs w:val="24"/>
        </w:rPr>
        <w:t>dans une logique de responsabilité sociétale (</w:t>
      </w:r>
      <w:proofErr w:type="spellStart"/>
      <w:r w:rsidRPr="00AD7A32">
        <w:rPr>
          <w:rFonts w:ascii="Arial" w:hAnsi="Arial" w:cs="Arial"/>
          <w:sz w:val="24"/>
          <w:szCs w:val="24"/>
        </w:rPr>
        <w:t>Glossner</w:t>
      </w:r>
      <w:proofErr w:type="spellEnd"/>
      <w:r w:rsidRPr="00AD7A32">
        <w:rPr>
          <w:rFonts w:ascii="Arial" w:hAnsi="Arial" w:cs="Arial"/>
          <w:sz w:val="24"/>
          <w:szCs w:val="24"/>
        </w:rPr>
        <w:t xml:space="preserve"> S., 2019)</w:t>
      </w:r>
      <w:r w:rsidR="007F5CBD">
        <w:rPr>
          <w:rFonts w:ascii="Arial" w:hAnsi="Arial" w:cs="Arial"/>
          <w:sz w:val="24"/>
          <w:szCs w:val="24"/>
        </w:rPr>
        <w:t xml:space="preserve">, </w:t>
      </w:r>
      <w:r w:rsidR="00841597">
        <w:rPr>
          <w:rFonts w:ascii="Arial" w:hAnsi="Arial" w:cs="Arial"/>
          <w:sz w:val="24"/>
          <w:szCs w:val="24"/>
        </w:rPr>
        <w:t>la faculté à orienter la poli</w:t>
      </w:r>
      <w:r w:rsidR="005F4112">
        <w:rPr>
          <w:rFonts w:ascii="Arial" w:hAnsi="Arial" w:cs="Arial"/>
          <w:sz w:val="24"/>
          <w:szCs w:val="24"/>
        </w:rPr>
        <w:t>tique de versements de dividendes (</w:t>
      </w:r>
      <w:r w:rsidR="005F4112" w:rsidRPr="005F4112">
        <w:rPr>
          <w:rFonts w:ascii="Arial" w:hAnsi="Arial" w:cs="Arial"/>
          <w:sz w:val="24"/>
          <w:szCs w:val="24"/>
        </w:rPr>
        <w:t>Ngo A., Duong H., Nguyen T., Nguyen L.</w:t>
      </w:r>
      <w:r w:rsidR="005F4112">
        <w:rPr>
          <w:rFonts w:ascii="Arial" w:hAnsi="Arial" w:cs="Arial"/>
          <w:sz w:val="24"/>
          <w:szCs w:val="24"/>
        </w:rPr>
        <w:t xml:space="preserve">, </w:t>
      </w:r>
      <w:r w:rsidR="005F4112" w:rsidRPr="005F4112">
        <w:rPr>
          <w:rFonts w:ascii="Arial" w:hAnsi="Arial" w:cs="Arial"/>
          <w:sz w:val="24"/>
          <w:szCs w:val="24"/>
        </w:rPr>
        <w:t>2020)</w:t>
      </w:r>
      <w:r w:rsidR="005F4112">
        <w:rPr>
          <w:rFonts w:ascii="Arial" w:hAnsi="Arial" w:cs="Arial"/>
          <w:sz w:val="24"/>
          <w:szCs w:val="24"/>
        </w:rPr>
        <w:t xml:space="preserve">, </w:t>
      </w:r>
      <w:r w:rsidR="00E86CEE">
        <w:rPr>
          <w:rFonts w:ascii="Arial" w:hAnsi="Arial" w:cs="Arial"/>
          <w:sz w:val="24"/>
          <w:szCs w:val="24"/>
        </w:rPr>
        <w:t>la</w:t>
      </w:r>
      <w:r w:rsidR="003946B5">
        <w:rPr>
          <w:rFonts w:ascii="Arial" w:hAnsi="Arial" w:cs="Arial"/>
          <w:sz w:val="24"/>
          <w:szCs w:val="24"/>
        </w:rPr>
        <w:t xml:space="preserve"> </w:t>
      </w:r>
      <w:r w:rsidR="007F70E0">
        <w:rPr>
          <w:rFonts w:ascii="Arial" w:hAnsi="Arial" w:cs="Arial"/>
          <w:sz w:val="24"/>
          <w:szCs w:val="24"/>
        </w:rPr>
        <w:t>capacité à influer sur l</w:t>
      </w:r>
      <w:r w:rsidR="0084768C">
        <w:rPr>
          <w:rFonts w:ascii="Arial" w:hAnsi="Arial" w:cs="Arial"/>
          <w:sz w:val="24"/>
          <w:szCs w:val="24"/>
        </w:rPr>
        <w:t>e style de</w:t>
      </w:r>
      <w:r w:rsidR="007F70E0">
        <w:rPr>
          <w:rFonts w:ascii="Arial" w:hAnsi="Arial" w:cs="Arial"/>
          <w:sz w:val="24"/>
          <w:szCs w:val="24"/>
        </w:rPr>
        <w:t xml:space="preserve"> gouvernance de l’entreprise (</w:t>
      </w:r>
      <w:r w:rsidR="00B464CA">
        <w:rPr>
          <w:rFonts w:ascii="Arial" w:hAnsi="Arial" w:cs="Arial"/>
          <w:sz w:val="24"/>
          <w:szCs w:val="24"/>
        </w:rPr>
        <w:t xml:space="preserve">Yeh C., </w:t>
      </w:r>
      <w:r w:rsidR="00B45FFD">
        <w:rPr>
          <w:rFonts w:ascii="Arial" w:hAnsi="Arial" w:cs="Arial"/>
          <w:sz w:val="24"/>
          <w:szCs w:val="24"/>
        </w:rPr>
        <w:t>2018</w:t>
      </w:r>
      <w:r w:rsidR="00B464CA">
        <w:rPr>
          <w:rFonts w:ascii="Arial" w:hAnsi="Arial" w:cs="Arial"/>
          <w:sz w:val="24"/>
          <w:szCs w:val="24"/>
        </w:rPr>
        <w:t xml:space="preserve">, </w:t>
      </w:r>
      <w:r w:rsidR="00C90662">
        <w:rPr>
          <w:rFonts w:ascii="Arial" w:hAnsi="Arial" w:cs="Arial"/>
          <w:sz w:val="24"/>
          <w:szCs w:val="24"/>
        </w:rPr>
        <w:t xml:space="preserve">Ho J., Huang C., </w:t>
      </w:r>
      <w:proofErr w:type="spellStart"/>
      <w:r w:rsidR="00C90662">
        <w:rPr>
          <w:rFonts w:ascii="Arial" w:hAnsi="Arial" w:cs="Arial"/>
          <w:sz w:val="24"/>
          <w:szCs w:val="24"/>
        </w:rPr>
        <w:t>Karuna</w:t>
      </w:r>
      <w:proofErr w:type="spellEnd"/>
      <w:r w:rsidR="00C90662">
        <w:rPr>
          <w:rFonts w:ascii="Arial" w:hAnsi="Arial" w:cs="Arial"/>
          <w:sz w:val="24"/>
          <w:szCs w:val="24"/>
        </w:rPr>
        <w:t xml:space="preserve"> C., 2019)</w:t>
      </w:r>
      <w:r w:rsidR="00A36835">
        <w:rPr>
          <w:rFonts w:ascii="Arial" w:hAnsi="Arial" w:cs="Arial"/>
          <w:sz w:val="24"/>
          <w:szCs w:val="24"/>
        </w:rPr>
        <w:t xml:space="preserve"> ainsi que</w:t>
      </w:r>
      <w:r w:rsidR="006557C3">
        <w:rPr>
          <w:rFonts w:ascii="Arial" w:hAnsi="Arial" w:cs="Arial"/>
          <w:sz w:val="24"/>
          <w:szCs w:val="24"/>
        </w:rPr>
        <w:t xml:space="preserve"> la </w:t>
      </w:r>
      <w:r w:rsidR="00C02EB4">
        <w:rPr>
          <w:rFonts w:ascii="Arial" w:hAnsi="Arial" w:cs="Arial"/>
          <w:sz w:val="24"/>
          <w:szCs w:val="24"/>
        </w:rPr>
        <w:t>possibilité</w:t>
      </w:r>
      <w:r w:rsidR="006557C3">
        <w:rPr>
          <w:rFonts w:ascii="Arial" w:hAnsi="Arial" w:cs="Arial"/>
          <w:sz w:val="24"/>
          <w:szCs w:val="24"/>
        </w:rPr>
        <w:t xml:space="preserve"> à impulser une nouvelle dynamique stratégique (</w:t>
      </w:r>
      <w:r w:rsidR="00CB52CC">
        <w:rPr>
          <w:rFonts w:ascii="Arial" w:hAnsi="Arial" w:cs="Arial"/>
          <w:sz w:val="24"/>
          <w:szCs w:val="24"/>
        </w:rPr>
        <w:t>Broo</w:t>
      </w:r>
      <w:r w:rsidR="00BB6E8F">
        <w:rPr>
          <w:rFonts w:ascii="Arial" w:hAnsi="Arial" w:cs="Arial"/>
          <w:sz w:val="24"/>
          <w:szCs w:val="24"/>
        </w:rPr>
        <w:t>ks C., Chen Z., Zeng Y., 2018</w:t>
      </w:r>
      <w:r w:rsidR="008E4D1D">
        <w:rPr>
          <w:rFonts w:ascii="Arial" w:hAnsi="Arial" w:cs="Arial"/>
          <w:sz w:val="24"/>
          <w:szCs w:val="24"/>
        </w:rPr>
        <w:t xml:space="preserve">, </w:t>
      </w:r>
      <w:proofErr w:type="spellStart"/>
      <w:r w:rsidR="006E16DD">
        <w:rPr>
          <w:rFonts w:ascii="Arial" w:hAnsi="Arial" w:cs="Arial"/>
          <w:sz w:val="24"/>
          <w:szCs w:val="24"/>
        </w:rPr>
        <w:t>Palard</w:t>
      </w:r>
      <w:proofErr w:type="spellEnd"/>
      <w:r w:rsidR="006E16DD">
        <w:rPr>
          <w:rFonts w:ascii="Arial" w:hAnsi="Arial" w:cs="Arial"/>
          <w:sz w:val="24"/>
          <w:szCs w:val="24"/>
        </w:rPr>
        <w:t xml:space="preserve"> J., 2011</w:t>
      </w:r>
      <w:r w:rsidR="00BB6E8F">
        <w:rPr>
          <w:rFonts w:ascii="Arial" w:hAnsi="Arial" w:cs="Arial"/>
          <w:sz w:val="24"/>
          <w:szCs w:val="24"/>
        </w:rPr>
        <w:t>)</w:t>
      </w:r>
      <w:r w:rsidR="00AA7AFC">
        <w:rPr>
          <w:rFonts w:ascii="Arial" w:hAnsi="Arial" w:cs="Arial"/>
          <w:sz w:val="24"/>
          <w:szCs w:val="24"/>
        </w:rPr>
        <w:t xml:space="preserve">. </w:t>
      </w:r>
    </w:p>
    <w:p w14:paraId="22964FEA" w14:textId="77777777" w:rsidR="002B251C" w:rsidRDefault="002B251C" w:rsidP="00AD7A32">
      <w:pPr>
        <w:pStyle w:val="Paragraphedeliste"/>
        <w:spacing w:line="240" w:lineRule="auto"/>
        <w:jc w:val="both"/>
        <w:rPr>
          <w:rFonts w:ascii="Arial" w:hAnsi="Arial" w:cs="Arial"/>
          <w:sz w:val="24"/>
          <w:szCs w:val="24"/>
        </w:rPr>
      </w:pPr>
    </w:p>
    <w:p w14:paraId="40E9C908" w14:textId="7EAEE588" w:rsidR="00174870" w:rsidRDefault="002B251C" w:rsidP="00AD7A32">
      <w:pPr>
        <w:pStyle w:val="Paragraphedeliste"/>
        <w:spacing w:line="240" w:lineRule="auto"/>
        <w:jc w:val="both"/>
        <w:rPr>
          <w:rFonts w:ascii="Arial" w:hAnsi="Arial" w:cs="Arial"/>
          <w:sz w:val="24"/>
          <w:szCs w:val="24"/>
        </w:rPr>
      </w:pPr>
      <w:r>
        <w:rPr>
          <w:rFonts w:ascii="Arial" w:hAnsi="Arial" w:cs="Arial"/>
          <w:sz w:val="24"/>
          <w:szCs w:val="24"/>
        </w:rPr>
        <w:t xml:space="preserve">Schématiquement, l’orchestration de l’activisme </w:t>
      </w:r>
      <w:r w:rsidR="000A6238">
        <w:rPr>
          <w:rFonts w:ascii="Arial" w:hAnsi="Arial" w:cs="Arial"/>
          <w:sz w:val="24"/>
          <w:szCs w:val="24"/>
        </w:rPr>
        <w:t>aura</w:t>
      </w:r>
      <w:r w:rsidR="001B4DB3">
        <w:rPr>
          <w:rFonts w:ascii="Arial" w:hAnsi="Arial" w:cs="Arial"/>
          <w:sz w:val="24"/>
          <w:szCs w:val="24"/>
        </w:rPr>
        <w:t>,</w:t>
      </w:r>
      <w:r w:rsidR="000A6238">
        <w:rPr>
          <w:rFonts w:ascii="Arial" w:hAnsi="Arial" w:cs="Arial"/>
          <w:sz w:val="24"/>
          <w:szCs w:val="24"/>
        </w:rPr>
        <w:t xml:space="preserve"> </w:t>
      </w:r>
      <w:r w:rsidR="00885445">
        <w:rPr>
          <w:rFonts w:ascii="Arial" w:hAnsi="Arial" w:cs="Arial"/>
          <w:sz w:val="24"/>
          <w:szCs w:val="24"/>
        </w:rPr>
        <w:t>tout d’abord</w:t>
      </w:r>
      <w:r w:rsidR="001B4DB3">
        <w:rPr>
          <w:rFonts w:ascii="Arial" w:hAnsi="Arial" w:cs="Arial"/>
          <w:sz w:val="24"/>
          <w:szCs w:val="24"/>
        </w:rPr>
        <w:t>,</w:t>
      </w:r>
      <w:r w:rsidR="00885445">
        <w:rPr>
          <w:rFonts w:ascii="Arial" w:hAnsi="Arial" w:cs="Arial"/>
          <w:sz w:val="24"/>
          <w:szCs w:val="24"/>
        </w:rPr>
        <w:t xml:space="preserve"> </w:t>
      </w:r>
      <w:r w:rsidR="000A6238">
        <w:rPr>
          <w:rFonts w:ascii="Arial" w:hAnsi="Arial" w:cs="Arial"/>
          <w:sz w:val="24"/>
          <w:szCs w:val="24"/>
        </w:rPr>
        <w:t>pour finalité d</w:t>
      </w:r>
      <w:r w:rsidR="001A6806">
        <w:rPr>
          <w:rFonts w:ascii="Arial" w:hAnsi="Arial" w:cs="Arial"/>
          <w:sz w:val="24"/>
          <w:szCs w:val="24"/>
        </w:rPr>
        <w:t>’infiltrer des espaces de parole qui permettent aux investisseurs institutionnels de susciter</w:t>
      </w:r>
      <w:r w:rsidR="001B4DB3">
        <w:rPr>
          <w:rFonts w:ascii="Arial" w:hAnsi="Arial" w:cs="Arial"/>
          <w:sz w:val="24"/>
          <w:szCs w:val="24"/>
        </w:rPr>
        <w:t>,</w:t>
      </w:r>
      <w:r w:rsidR="001A6806">
        <w:rPr>
          <w:rFonts w:ascii="Arial" w:hAnsi="Arial" w:cs="Arial"/>
          <w:sz w:val="24"/>
          <w:szCs w:val="24"/>
        </w:rPr>
        <w:t xml:space="preserve"> </w:t>
      </w:r>
      <w:r w:rsidR="00082C57">
        <w:rPr>
          <w:rFonts w:ascii="Arial" w:hAnsi="Arial" w:cs="Arial"/>
          <w:sz w:val="24"/>
          <w:szCs w:val="24"/>
        </w:rPr>
        <w:t>ensuite</w:t>
      </w:r>
      <w:r w:rsidR="001B4DB3">
        <w:rPr>
          <w:rFonts w:ascii="Arial" w:hAnsi="Arial" w:cs="Arial"/>
          <w:sz w:val="24"/>
          <w:szCs w:val="24"/>
        </w:rPr>
        <w:t>,</w:t>
      </w:r>
      <w:r w:rsidR="00082C57">
        <w:rPr>
          <w:rFonts w:ascii="Arial" w:hAnsi="Arial" w:cs="Arial"/>
          <w:sz w:val="24"/>
          <w:szCs w:val="24"/>
        </w:rPr>
        <w:t xml:space="preserve"> </w:t>
      </w:r>
      <w:r w:rsidR="001A6806">
        <w:rPr>
          <w:rFonts w:ascii="Arial" w:hAnsi="Arial" w:cs="Arial"/>
          <w:sz w:val="24"/>
          <w:szCs w:val="24"/>
        </w:rPr>
        <w:t>des modifications dans l</w:t>
      </w:r>
      <w:r w:rsidR="00A67899">
        <w:rPr>
          <w:rFonts w:ascii="Arial" w:hAnsi="Arial" w:cs="Arial"/>
          <w:sz w:val="24"/>
          <w:szCs w:val="24"/>
        </w:rPr>
        <w:t>e positionnement</w:t>
      </w:r>
      <w:r w:rsidR="001A6806">
        <w:rPr>
          <w:rFonts w:ascii="Arial" w:hAnsi="Arial" w:cs="Arial"/>
          <w:sz w:val="24"/>
          <w:szCs w:val="24"/>
        </w:rPr>
        <w:t xml:space="preserve"> </w:t>
      </w:r>
      <w:r w:rsidR="00A67899">
        <w:rPr>
          <w:rFonts w:ascii="Arial" w:hAnsi="Arial" w:cs="Arial"/>
          <w:sz w:val="24"/>
          <w:szCs w:val="24"/>
        </w:rPr>
        <w:t>de l’entreprise.</w:t>
      </w:r>
      <w:r w:rsidR="006B4601">
        <w:rPr>
          <w:rFonts w:ascii="Arial" w:hAnsi="Arial" w:cs="Arial"/>
          <w:sz w:val="24"/>
          <w:szCs w:val="24"/>
        </w:rPr>
        <w:t xml:space="preserve"> Si, bien évidemment, des </w:t>
      </w:r>
      <w:r w:rsidR="00E54050" w:rsidRPr="00E54050">
        <w:rPr>
          <w:rFonts w:ascii="Arial" w:hAnsi="Arial" w:cs="Arial"/>
          <w:sz w:val="24"/>
          <w:szCs w:val="24"/>
        </w:rPr>
        <w:t>espaces informels de parole</w:t>
      </w:r>
      <w:r w:rsidR="003C2F80">
        <w:rPr>
          <w:rFonts w:ascii="Arial" w:hAnsi="Arial" w:cs="Arial"/>
          <w:sz w:val="24"/>
          <w:szCs w:val="24"/>
        </w:rPr>
        <w:t xml:space="preserve"> </w:t>
      </w:r>
      <w:r w:rsidR="00D826C8">
        <w:rPr>
          <w:rFonts w:ascii="Arial" w:hAnsi="Arial" w:cs="Arial"/>
          <w:sz w:val="24"/>
          <w:szCs w:val="24"/>
        </w:rPr>
        <w:t xml:space="preserve">peuvent faciliter les échanges </w:t>
      </w:r>
      <w:r w:rsidR="003C2F80">
        <w:rPr>
          <w:rFonts w:ascii="Arial" w:hAnsi="Arial" w:cs="Arial"/>
          <w:sz w:val="24"/>
          <w:szCs w:val="24"/>
        </w:rPr>
        <w:t>– l’</w:t>
      </w:r>
      <w:r w:rsidR="00E54050" w:rsidRPr="00E54050">
        <w:rPr>
          <w:rFonts w:ascii="Arial" w:hAnsi="Arial" w:cs="Arial"/>
          <w:sz w:val="24"/>
          <w:szCs w:val="24"/>
        </w:rPr>
        <w:t xml:space="preserve">open </w:t>
      </w:r>
      <w:proofErr w:type="spellStart"/>
      <w:r w:rsidR="00E54050" w:rsidRPr="00E54050">
        <w:rPr>
          <w:rFonts w:ascii="Arial" w:hAnsi="Arial" w:cs="Arial"/>
          <w:sz w:val="24"/>
          <w:szCs w:val="24"/>
        </w:rPr>
        <w:t>activism</w:t>
      </w:r>
      <w:proofErr w:type="spellEnd"/>
      <w:r w:rsidR="003C2F80">
        <w:rPr>
          <w:rFonts w:ascii="Arial" w:hAnsi="Arial" w:cs="Arial"/>
          <w:sz w:val="24"/>
          <w:szCs w:val="24"/>
        </w:rPr>
        <w:t xml:space="preserve"> </w:t>
      </w:r>
      <w:r w:rsidR="009C41CB">
        <w:rPr>
          <w:rFonts w:ascii="Arial" w:hAnsi="Arial" w:cs="Arial"/>
          <w:sz w:val="24"/>
          <w:szCs w:val="24"/>
        </w:rPr>
        <w:t xml:space="preserve">développé par </w:t>
      </w:r>
      <w:r w:rsidR="00E54050" w:rsidRPr="00E54050">
        <w:rPr>
          <w:rFonts w:ascii="Arial" w:hAnsi="Arial" w:cs="Arial"/>
          <w:sz w:val="24"/>
          <w:szCs w:val="24"/>
        </w:rPr>
        <w:t>Aiken A.</w:t>
      </w:r>
      <w:r w:rsidR="009178BD">
        <w:rPr>
          <w:rFonts w:ascii="Arial" w:hAnsi="Arial" w:cs="Arial"/>
          <w:sz w:val="24"/>
          <w:szCs w:val="24"/>
        </w:rPr>
        <w:t xml:space="preserve"> et </w:t>
      </w:r>
      <w:r w:rsidR="00E54050" w:rsidRPr="00E54050">
        <w:rPr>
          <w:rFonts w:ascii="Arial" w:hAnsi="Arial" w:cs="Arial"/>
          <w:sz w:val="24"/>
          <w:szCs w:val="24"/>
        </w:rPr>
        <w:t>Lee C., 2020</w:t>
      </w:r>
      <w:r w:rsidR="009C41CB">
        <w:rPr>
          <w:rFonts w:ascii="Arial" w:hAnsi="Arial" w:cs="Arial"/>
          <w:sz w:val="24"/>
          <w:szCs w:val="24"/>
        </w:rPr>
        <w:t xml:space="preserve"> </w:t>
      </w:r>
      <w:r w:rsidR="002116F8">
        <w:rPr>
          <w:rFonts w:ascii="Arial" w:hAnsi="Arial" w:cs="Arial"/>
          <w:sz w:val="24"/>
          <w:szCs w:val="24"/>
        </w:rPr>
        <w:t>-,</w:t>
      </w:r>
      <w:r w:rsidR="003C2F80">
        <w:rPr>
          <w:rFonts w:ascii="Arial" w:hAnsi="Arial" w:cs="Arial"/>
          <w:sz w:val="24"/>
          <w:szCs w:val="24"/>
        </w:rPr>
        <w:t xml:space="preserve"> le poids discursif des investisseurs institutionnel</w:t>
      </w:r>
      <w:r w:rsidR="009C41CB">
        <w:rPr>
          <w:rFonts w:ascii="Arial" w:hAnsi="Arial" w:cs="Arial"/>
          <w:sz w:val="24"/>
          <w:szCs w:val="24"/>
        </w:rPr>
        <w:t>s</w:t>
      </w:r>
      <w:r w:rsidR="003C2F80">
        <w:rPr>
          <w:rFonts w:ascii="Arial" w:hAnsi="Arial" w:cs="Arial"/>
          <w:sz w:val="24"/>
          <w:szCs w:val="24"/>
        </w:rPr>
        <w:t xml:space="preserve"> sera </w:t>
      </w:r>
      <w:r w:rsidR="00DD5DA9">
        <w:rPr>
          <w:rFonts w:ascii="Arial" w:hAnsi="Arial" w:cs="Arial"/>
          <w:sz w:val="24"/>
          <w:szCs w:val="24"/>
        </w:rPr>
        <w:t>d’autant plus important qu’il s’exercera dans des espaces form</w:t>
      </w:r>
      <w:r w:rsidR="00D2241A">
        <w:rPr>
          <w:rFonts w:ascii="Arial" w:hAnsi="Arial" w:cs="Arial"/>
          <w:sz w:val="24"/>
          <w:szCs w:val="24"/>
        </w:rPr>
        <w:t>els</w:t>
      </w:r>
      <w:r w:rsidR="000370F0">
        <w:rPr>
          <w:rFonts w:ascii="Arial" w:hAnsi="Arial" w:cs="Arial"/>
          <w:sz w:val="24"/>
          <w:szCs w:val="24"/>
        </w:rPr>
        <w:t xml:space="preserve"> de gouvernance</w:t>
      </w:r>
      <w:r w:rsidR="00D77A6B">
        <w:rPr>
          <w:rFonts w:ascii="Arial" w:hAnsi="Arial" w:cs="Arial"/>
          <w:sz w:val="24"/>
          <w:szCs w:val="24"/>
        </w:rPr>
        <w:t xml:space="preserve"> par l’intermédiaire desquels </w:t>
      </w:r>
      <w:r w:rsidR="0038014A">
        <w:rPr>
          <w:rFonts w:ascii="Arial" w:hAnsi="Arial" w:cs="Arial"/>
          <w:sz w:val="24"/>
          <w:szCs w:val="24"/>
        </w:rPr>
        <w:t xml:space="preserve">ils vont essayer de rallier les autres actionnaires </w:t>
      </w:r>
      <w:r w:rsidR="00E814B7">
        <w:rPr>
          <w:rFonts w:ascii="Arial" w:hAnsi="Arial" w:cs="Arial"/>
          <w:sz w:val="24"/>
          <w:szCs w:val="24"/>
        </w:rPr>
        <w:t xml:space="preserve">– et plus largement les autres administrateurs - </w:t>
      </w:r>
      <w:r w:rsidR="0038014A">
        <w:rPr>
          <w:rFonts w:ascii="Arial" w:hAnsi="Arial" w:cs="Arial"/>
          <w:sz w:val="24"/>
          <w:szCs w:val="24"/>
        </w:rPr>
        <w:t>à leur cause</w:t>
      </w:r>
      <w:r w:rsidR="000370F0">
        <w:rPr>
          <w:rFonts w:ascii="Arial" w:hAnsi="Arial" w:cs="Arial"/>
          <w:sz w:val="24"/>
          <w:szCs w:val="24"/>
        </w:rPr>
        <w:t>.</w:t>
      </w:r>
      <w:r w:rsidR="007344DE">
        <w:rPr>
          <w:rFonts w:ascii="Arial" w:hAnsi="Arial" w:cs="Arial"/>
          <w:sz w:val="24"/>
          <w:szCs w:val="24"/>
        </w:rPr>
        <w:t xml:space="preserve"> </w:t>
      </w:r>
      <w:r w:rsidR="00F16607">
        <w:rPr>
          <w:rFonts w:ascii="Arial" w:hAnsi="Arial" w:cs="Arial"/>
          <w:sz w:val="24"/>
          <w:szCs w:val="24"/>
        </w:rPr>
        <w:t xml:space="preserve">L’accès à ces lieux sera </w:t>
      </w:r>
      <w:r w:rsidR="00210727">
        <w:rPr>
          <w:rFonts w:ascii="Arial" w:hAnsi="Arial" w:cs="Arial"/>
          <w:sz w:val="24"/>
          <w:szCs w:val="24"/>
        </w:rPr>
        <w:t xml:space="preserve">légitimé </w:t>
      </w:r>
      <w:r w:rsidR="00F16607">
        <w:rPr>
          <w:rFonts w:ascii="Arial" w:hAnsi="Arial" w:cs="Arial"/>
          <w:sz w:val="24"/>
          <w:szCs w:val="24"/>
        </w:rPr>
        <w:t>par le niveau élevé de capital détenu</w:t>
      </w:r>
      <w:r w:rsidR="001566AC">
        <w:rPr>
          <w:rFonts w:ascii="Arial" w:hAnsi="Arial" w:cs="Arial"/>
          <w:sz w:val="24"/>
          <w:szCs w:val="24"/>
        </w:rPr>
        <w:t xml:space="preserve"> dans la mesure où d’importantes corrélations existent entre la structure de propriété d’une entreprise et la composition</w:t>
      </w:r>
      <w:r w:rsidR="00E137F6">
        <w:rPr>
          <w:rFonts w:ascii="Arial" w:hAnsi="Arial" w:cs="Arial"/>
          <w:sz w:val="24"/>
          <w:szCs w:val="24"/>
        </w:rPr>
        <w:t xml:space="preserve"> de son Conseil (Mak Y., </w:t>
      </w:r>
      <w:r w:rsidR="00300889">
        <w:rPr>
          <w:rFonts w:ascii="Arial" w:hAnsi="Arial" w:cs="Arial"/>
          <w:sz w:val="24"/>
          <w:szCs w:val="24"/>
        </w:rPr>
        <w:t>Li Y., 2001)</w:t>
      </w:r>
    </w:p>
    <w:p w14:paraId="2684DFF0" w14:textId="6DC70088" w:rsidR="0055445F" w:rsidRDefault="00DB2C40" w:rsidP="00D01AA0">
      <w:pPr>
        <w:spacing w:line="240" w:lineRule="auto"/>
        <w:ind w:left="708"/>
        <w:jc w:val="both"/>
        <w:rPr>
          <w:rFonts w:ascii="Arial" w:hAnsi="Arial" w:cs="Arial"/>
          <w:sz w:val="24"/>
          <w:szCs w:val="24"/>
        </w:rPr>
      </w:pPr>
      <w:r>
        <w:rPr>
          <w:rFonts w:ascii="Arial" w:hAnsi="Arial" w:cs="Arial"/>
          <w:sz w:val="24"/>
          <w:szCs w:val="24"/>
        </w:rPr>
        <w:t>Dans la mesure où l’investisseur institutionnel côtoie d’autres actionnaires dans la structure de proprié</w:t>
      </w:r>
      <w:r w:rsidR="00E82445">
        <w:rPr>
          <w:rFonts w:ascii="Arial" w:hAnsi="Arial" w:cs="Arial"/>
          <w:sz w:val="24"/>
          <w:szCs w:val="24"/>
        </w:rPr>
        <w:t xml:space="preserve">té, dès lors, </w:t>
      </w:r>
      <w:r w:rsidR="00552506">
        <w:rPr>
          <w:rFonts w:ascii="Arial" w:hAnsi="Arial" w:cs="Arial"/>
          <w:sz w:val="24"/>
          <w:szCs w:val="24"/>
        </w:rPr>
        <w:t xml:space="preserve">et </w:t>
      </w:r>
      <w:r w:rsidR="00E82445">
        <w:rPr>
          <w:rFonts w:ascii="Arial" w:hAnsi="Arial" w:cs="Arial"/>
          <w:sz w:val="24"/>
          <w:szCs w:val="24"/>
        </w:rPr>
        <w:t xml:space="preserve">dans </w:t>
      </w:r>
      <w:r w:rsidR="00552506">
        <w:rPr>
          <w:rFonts w:ascii="Arial" w:hAnsi="Arial" w:cs="Arial"/>
          <w:sz w:val="24"/>
          <w:szCs w:val="24"/>
        </w:rPr>
        <w:t>une</w:t>
      </w:r>
      <w:r w:rsidR="00E82445">
        <w:rPr>
          <w:rFonts w:ascii="Arial" w:hAnsi="Arial" w:cs="Arial"/>
          <w:sz w:val="24"/>
          <w:szCs w:val="24"/>
        </w:rPr>
        <w:t xml:space="preserve"> logique du ralliement du Conseil, se pose la question </w:t>
      </w:r>
      <w:r w:rsidR="00A60B40">
        <w:rPr>
          <w:rFonts w:ascii="Arial" w:hAnsi="Arial" w:cs="Arial"/>
          <w:sz w:val="24"/>
          <w:szCs w:val="24"/>
        </w:rPr>
        <w:t xml:space="preserve">des facultés de coalisation. </w:t>
      </w:r>
      <w:r w:rsidR="00B816BF">
        <w:rPr>
          <w:rFonts w:ascii="Arial" w:hAnsi="Arial" w:cs="Arial"/>
          <w:sz w:val="24"/>
          <w:szCs w:val="24"/>
        </w:rPr>
        <w:t xml:space="preserve">Sur </w:t>
      </w:r>
      <w:r w:rsidR="00A60B40">
        <w:rPr>
          <w:rFonts w:ascii="Arial" w:hAnsi="Arial" w:cs="Arial"/>
          <w:sz w:val="24"/>
          <w:szCs w:val="24"/>
        </w:rPr>
        <w:t>ce</w:t>
      </w:r>
      <w:r w:rsidR="00CA5999">
        <w:rPr>
          <w:rFonts w:ascii="Arial" w:hAnsi="Arial" w:cs="Arial"/>
          <w:sz w:val="24"/>
          <w:szCs w:val="24"/>
        </w:rPr>
        <w:t>s</w:t>
      </w:r>
      <w:r w:rsidR="00B816BF">
        <w:rPr>
          <w:rFonts w:ascii="Arial" w:hAnsi="Arial" w:cs="Arial"/>
          <w:sz w:val="24"/>
          <w:szCs w:val="24"/>
        </w:rPr>
        <w:t xml:space="preserve"> </w:t>
      </w:r>
      <w:r w:rsidR="00CA5999">
        <w:rPr>
          <w:rFonts w:ascii="Arial" w:hAnsi="Arial" w:cs="Arial"/>
          <w:sz w:val="24"/>
          <w:szCs w:val="24"/>
        </w:rPr>
        <w:t>capacités</w:t>
      </w:r>
      <w:r w:rsidR="00B816BF">
        <w:rPr>
          <w:rFonts w:ascii="Arial" w:hAnsi="Arial" w:cs="Arial"/>
          <w:sz w:val="24"/>
          <w:szCs w:val="24"/>
        </w:rPr>
        <w:t xml:space="preserve"> de</w:t>
      </w:r>
      <w:r w:rsidR="006F271E">
        <w:rPr>
          <w:rFonts w:ascii="Arial" w:hAnsi="Arial" w:cs="Arial"/>
          <w:sz w:val="24"/>
          <w:szCs w:val="24"/>
        </w:rPr>
        <w:t xml:space="preserve"> coalis</w:t>
      </w:r>
      <w:r w:rsidR="009C107C">
        <w:rPr>
          <w:rFonts w:ascii="Arial" w:hAnsi="Arial" w:cs="Arial"/>
          <w:sz w:val="24"/>
          <w:szCs w:val="24"/>
        </w:rPr>
        <w:t>a</w:t>
      </w:r>
      <w:r w:rsidR="006F271E">
        <w:rPr>
          <w:rFonts w:ascii="Arial" w:hAnsi="Arial" w:cs="Arial"/>
          <w:sz w:val="24"/>
          <w:szCs w:val="24"/>
        </w:rPr>
        <w:t xml:space="preserve">tion </w:t>
      </w:r>
      <w:r w:rsidR="009C107C">
        <w:rPr>
          <w:rFonts w:ascii="Arial" w:hAnsi="Arial" w:cs="Arial"/>
          <w:sz w:val="24"/>
          <w:szCs w:val="24"/>
        </w:rPr>
        <w:t>des investisseurs</w:t>
      </w:r>
      <w:r w:rsidR="00B816BF">
        <w:rPr>
          <w:rFonts w:ascii="Arial" w:hAnsi="Arial" w:cs="Arial"/>
          <w:sz w:val="24"/>
          <w:szCs w:val="24"/>
        </w:rPr>
        <w:t xml:space="preserve"> institutionnels</w:t>
      </w:r>
      <w:r w:rsidR="005E2ED5">
        <w:rPr>
          <w:rFonts w:ascii="Arial" w:hAnsi="Arial" w:cs="Arial"/>
          <w:sz w:val="24"/>
          <w:szCs w:val="24"/>
        </w:rPr>
        <w:t xml:space="preserve"> </w:t>
      </w:r>
      <w:r w:rsidR="004A0C4B" w:rsidRPr="004A0C4B">
        <w:rPr>
          <w:rFonts w:ascii="Arial" w:hAnsi="Arial" w:cs="Arial"/>
          <w:sz w:val="24"/>
          <w:szCs w:val="24"/>
        </w:rPr>
        <w:t xml:space="preserve">(Rossi F., Barth J., </w:t>
      </w:r>
      <w:proofErr w:type="spellStart"/>
      <w:r w:rsidR="004A0C4B" w:rsidRPr="004A0C4B">
        <w:rPr>
          <w:rFonts w:ascii="Arial" w:hAnsi="Arial" w:cs="Arial"/>
          <w:sz w:val="24"/>
          <w:szCs w:val="24"/>
        </w:rPr>
        <w:t>Cebula</w:t>
      </w:r>
      <w:proofErr w:type="spellEnd"/>
      <w:r w:rsidR="004A0C4B" w:rsidRPr="004A0C4B">
        <w:rPr>
          <w:rFonts w:ascii="Arial" w:hAnsi="Arial" w:cs="Arial"/>
          <w:sz w:val="24"/>
          <w:szCs w:val="24"/>
        </w:rPr>
        <w:t xml:space="preserve"> R., 2018</w:t>
      </w:r>
      <w:r w:rsidR="004A0C4B">
        <w:rPr>
          <w:rFonts w:ascii="Arial" w:hAnsi="Arial" w:cs="Arial"/>
          <w:sz w:val="24"/>
          <w:szCs w:val="24"/>
        </w:rPr>
        <w:t xml:space="preserve">) </w:t>
      </w:r>
      <w:r w:rsidR="005E2ED5">
        <w:rPr>
          <w:rFonts w:ascii="Arial" w:hAnsi="Arial" w:cs="Arial"/>
          <w:sz w:val="24"/>
          <w:szCs w:val="24"/>
        </w:rPr>
        <w:t>et des investisseurs en général</w:t>
      </w:r>
      <w:r w:rsidR="004A0C4B">
        <w:rPr>
          <w:rFonts w:ascii="Arial" w:hAnsi="Arial" w:cs="Arial"/>
          <w:sz w:val="24"/>
          <w:szCs w:val="24"/>
        </w:rPr>
        <w:t xml:space="preserve"> (</w:t>
      </w:r>
      <w:proofErr w:type="spellStart"/>
      <w:r w:rsidR="004A0C4B" w:rsidRPr="004A0C4B">
        <w:rPr>
          <w:rFonts w:ascii="Arial" w:hAnsi="Arial" w:cs="Arial"/>
          <w:sz w:val="24"/>
          <w:szCs w:val="24"/>
        </w:rPr>
        <w:t>Basu</w:t>
      </w:r>
      <w:proofErr w:type="spellEnd"/>
      <w:r w:rsidR="004A0C4B" w:rsidRPr="004A0C4B">
        <w:rPr>
          <w:rFonts w:ascii="Arial" w:hAnsi="Arial" w:cs="Arial"/>
          <w:sz w:val="24"/>
          <w:szCs w:val="24"/>
        </w:rPr>
        <w:t xml:space="preserve"> N., </w:t>
      </w:r>
      <w:proofErr w:type="spellStart"/>
      <w:r w:rsidR="004A0C4B" w:rsidRPr="004A0C4B">
        <w:rPr>
          <w:rFonts w:ascii="Arial" w:hAnsi="Arial" w:cs="Arial"/>
          <w:sz w:val="24"/>
          <w:szCs w:val="24"/>
        </w:rPr>
        <w:t>Paeglis</w:t>
      </w:r>
      <w:proofErr w:type="spellEnd"/>
      <w:r w:rsidR="004A0C4B" w:rsidRPr="004A0C4B">
        <w:rPr>
          <w:rFonts w:ascii="Arial" w:hAnsi="Arial" w:cs="Arial"/>
          <w:sz w:val="24"/>
          <w:szCs w:val="24"/>
        </w:rPr>
        <w:t xml:space="preserve"> I., </w:t>
      </w:r>
      <w:proofErr w:type="spellStart"/>
      <w:r w:rsidR="004A0C4B" w:rsidRPr="004A0C4B">
        <w:rPr>
          <w:rFonts w:ascii="Arial" w:hAnsi="Arial" w:cs="Arial"/>
          <w:sz w:val="24"/>
          <w:szCs w:val="24"/>
        </w:rPr>
        <w:t>Toffanin</w:t>
      </w:r>
      <w:proofErr w:type="spellEnd"/>
      <w:r w:rsidR="004A0C4B" w:rsidRPr="004A0C4B">
        <w:rPr>
          <w:rFonts w:ascii="Arial" w:hAnsi="Arial" w:cs="Arial"/>
          <w:sz w:val="24"/>
          <w:szCs w:val="24"/>
        </w:rPr>
        <w:t xml:space="preserve"> M., 2017</w:t>
      </w:r>
      <w:r w:rsidR="00E14C48">
        <w:rPr>
          <w:rFonts w:ascii="Arial" w:hAnsi="Arial" w:cs="Arial"/>
          <w:sz w:val="24"/>
          <w:szCs w:val="24"/>
        </w:rPr>
        <w:t>)</w:t>
      </w:r>
      <w:r w:rsidR="00B816BF">
        <w:rPr>
          <w:rFonts w:ascii="Arial" w:hAnsi="Arial" w:cs="Arial"/>
          <w:sz w:val="24"/>
          <w:szCs w:val="24"/>
        </w:rPr>
        <w:t xml:space="preserve">, </w:t>
      </w:r>
      <w:r w:rsidR="005E2ED5">
        <w:rPr>
          <w:rFonts w:ascii="Arial" w:hAnsi="Arial" w:cs="Arial"/>
          <w:sz w:val="24"/>
          <w:szCs w:val="24"/>
        </w:rPr>
        <w:t>la littérature est encore balbutiante</w:t>
      </w:r>
      <w:r w:rsidR="00E74B6C">
        <w:rPr>
          <w:rFonts w:ascii="Arial" w:hAnsi="Arial" w:cs="Arial"/>
          <w:sz w:val="24"/>
          <w:szCs w:val="24"/>
        </w:rPr>
        <w:t>. C</w:t>
      </w:r>
      <w:r w:rsidR="004945A1">
        <w:rPr>
          <w:rFonts w:ascii="Arial" w:hAnsi="Arial" w:cs="Arial"/>
          <w:sz w:val="24"/>
          <w:szCs w:val="24"/>
        </w:rPr>
        <w:t xml:space="preserve">ertains auteurs insistent sur </w:t>
      </w:r>
      <w:r w:rsidR="00CA5999">
        <w:rPr>
          <w:rFonts w:ascii="Arial" w:hAnsi="Arial" w:cs="Arial"/>
          <w:sz w:val="24"/>
          <w:szCs w:val="24"/>
        </w:rPr>
        <w:t xml:space="preserve">leur </w:t>
      </w:r>
      <w:r w:rsidR="004945A1">
        <w:rPr>
          <w:rFonts w:ascii="Arial" w:hAnsi="Arial" w:cs="Arial"/>
          <w:sz w:val="24"/>
          <w:szCs w:val="24"/>
        </w:rPr>
        <w:t xml:space="preserve">importance pour appréhender l’évolution des </w:t>
      </w:r>
      <w:r w:rsidR="00545B5F">
        <w:rPr>
          <w:rFonts w:ascii="Arial" w:hAnsi="Arial" w:cs="Arial"/>
          <w:sz w:val="24"/>
          <w:szCs w:val="24"/>
        </w:rPr>
        <w:t>configurations entrepreneuriales (</w:t>
      </w:r>
      <w:proofErr w:type="spellStart"/>
      <w:r w:rsidR="00545B5F">
        <w:rPr>
          <w:rFonts w:ascii="Arial" w:hAnsi="Arial" w:cs="Arial"/>
          <w:sz w:val="24"/>
          <w:szCs w:val="24"/>
        </w:rPr>
        <w:t>Korpela</w:t>
      </w:r>
      <w:proofErr w:type="spellEnd"/>
      <w:r w:rsidR="00545B5F">
        <w:rPr>
          <w:rFonts w:ascii="Arial" w:hAnsi="Arial" w:cs="Arial"/>
          <w:sz w:val="24"/>
          <w:szCs w:val="24"/>
        </w:rPr>
        <w:t xml:space="preserve"> V.,</w:t>
      </w:r>
      <w:r w:rsidR="0098406C">
        <w:rPr>
          <w:rFonts w:ascii="Arial" w:hAnsi="Arial" w:cs="Arial"/>
          <w:sz w:val="24"/>
          <w:szCs w:val="24"/>
        </w:rPr>
        <w:t xml:space="preserve"> Lombardi M., </w:t>
      </w:r>
      <w:proofErr w:type="spellStart"/>
      <w:r w:rsidR="0098406C">
        <w:rPr>
          <w:rFonts w:ascii="Arial" w:hAnsi="Arial" w:cs="Arial"/>
          <w:sz w:val="24"/>
          <w:szCs w:val="24"/>
        </w:rPr>
        <w:t>Varti</w:t>
      </w:r>
      <w:r w:rsidR="00A2154A">
        <w:rPr>
          <w:rFonts w:ascii="Arial" w:hAnsi="Arial" w:cs="Arial"/>
          <w:sz w:val="24"/>
          <w:szCs w:val="24"/>
        </w:rPr>
        <w:t>ainen</w:t>
      </w:r>
      <w:proofErr w:type="spellEnd"/>
      <w:r w:rsidR="00A2154A">
        <w:rPr>
          <w:rFonts w:ascii="Arial" w:hAnsi="Arial" w:cs="Arial"/>
          <w:sz w:val="24"/>
          <w:szCs w:val="24"/>
        </w:rPr>
        <w:t xml:space="preserve"> H., 20</w:t>
      </w:r>
      <w:r w:rsidR="009E27C7">
        <w:rPr>
          <w:rFonts w:ascii="Arial" w:hAnsi="Arial" w:cs="Arial"/>
          <w:sz w:val="24"/>
          <w:szCs w:val="24"/>
        </w:rPr>
        <w:t>20</w:t>
      </w:r>
      <w:r w:rsidR="00A2154A">
        <w:rPr>
          <w:rFonts w:ascii="Arial" w:hAnsi="Arial" w:cs="Arial"/>
          <w:sz w:val="24"/>
          <w:szCs w:val="24"/>
        </w:rPr>
        <w:t>)</w:t>
      </w:r>
      <w:r w:rsidR="00BB625B">
        <w:rPr>
          <w:rFonts w:ascii="Arial" w:hAnsi="Arial" w:cs="Arial"/>
          <w:sz w:val="24"/>
          <w:szCs w:val="24"/>
        </w:rPr>
        <w:t xml:space="preserve"> </w:t>
      </w:r>
      <w:r w:rsidR="004C4AE2">
        <w:rPr>
          <w:rFonts w:ascii="Arial" w:hAnsi="Arial" w:cs="Arial"/>
          <w:sz w:val="24"/>
          <w:szCs w:val="24"/>
        </w:rPr>
        <w:t>ainsi que</w:t>
      </w:r>
      <w:r w:rsidR="00BB625B">
        <w:rPr>
          <w:rFonts w:ascii="Arial" w:hAnsi="Arial" w:cs="Arial"/>
          <w:sz w:val="24"/>
          <w:szCs w:val="24"/>
        </w:rPr>
        <w:t xml:space="preserve"> le rôle central joué par le</w:t>
      </w:r>
      <w:r w:rsidR="00EC186C" w:rsidRPr="00EC186C">
        <w:rPr>
          <w:rFonts w:ascii="Arial" w:hAnsi="Arial" w:cs="Arial"/>
          <w:sz w:val="24"/>
          <w:szCs w:val="24"/>
        </w:rPr>
        <w:t xml:space="preserve"> premier actionnaire dans la compréhension des processus de prises de décisions (</w:t>
      </w:r>
      <w:proofErr w:type="spellStart"/>
      <w:r w:rsidR="00EC186C" w:rsidRPr="00EC186C">
        <w:rPr>
          <w:rFonts w:ascii="Arial" w:hAnsi="Arial" w:cs="Arial"/>
          <w:sz w:val="24"/>
          <w:szCs w:val="24"/>
        </w:rPr>
        <w:t>Sacristan</w:t>
      </w:r>
      <w:proofErr w:type="spellEnd"/>
      <w:r w:rsidR="00E2646E">
        <w:rPr>
          <w:rFonts w:ascii="Arial" w:hAnsi="Arial" w:cs="Arial"/>
          <w:sz w:val="24"/>
          <w:szCs w:val="24"/>
        </w:rPr>
        <w:t xml:space="preserve"> </w:t>
      </w:r>
      <w:r w:rsidR="00EC186C" w:rsidRPr="00EC186C">
        <w:rPr>
          <w:rFonts w:ascii="Arial" w:hAnsi="Arial" w:cs="Arial"/>
          <w:sz w:val="24"/>
          <w:szCs w:val="24"/>
        </w:rPr>
        <w:t xml:space="preserve">M., </w:t>
      </w:r>
      <w:proofErr w:type="spellStart"/>
      <w:r w:rsidR="00EC186C" w:rsidRPr="00EC186C">
        <w:rPr>
          <w:rFonts w:ascii="Arial" w:hAnsi="Arial" w:cs="Arial"/>
          <w:sz w:val="24"/>
          <w:szCs w:val="24"/>
        </w:rPr>
        <w:t>Cabeza</w:t>
      </w:r>
      <w:proofErr w:type="spellEnd"/>
      <w:r w:rsidR="00EC186C" w:rsidRPr="00EC186C">
        <w:rPr>
          <w:rFonts w:ascii="Arial" w:hAnsi="Arial" w:cs="Arial"/>
          <w:sz w:val="24"/>
          <w:szCs w:val="24"/>
        </w:rPr>
        <w:t xml:space="preserve"> L., Gomez</w:t>
      </w:r>
      <w:r w:rsidR="00AE7210">
        <w:rPr>
          <w:rFonts w:ascii="Arial" w:hAnsi="Arial" w:cs="Arial"/>
          <w:sz w:val="24"/>
          <w:szCs w:val="24"/>
        </w:rPr>
        <w:t xml:space="preserve"> </w:t>
      </w:r>
      <w:r w:rsidR="00EC186C" w:rsidRPr="00EC186C">
        <w:rPr>
          <w:rFonts w:ascii="Arial" w:hAnsi="Arial" w:cs="Arial"/>
          <w:sz w:val="24"/>
          <w:szCs w:val="24"/>
        </w:rPr>
        <w:t>S., 2015)</w:t>
      </w:r>
      <w:r w:rsidR="004C4AE2">
        <w:rPr>
          <w:rFonts w:ascii="Arial" w:hAnsi="Arial" w:cs="Arial"/>
          <w:sz w:val="24"/>
          <w:szCs w:val="24"/>
        </w:rPr>
        <w:t>,</w:t>
      </w:r>
      <w:r w:rsidR="00EC186C" w:rsidRPr="00EC186C">
        <w:rPr>
          <w:rFonts w:ascii="Arial" w:hAnsi="Arial" w:cs="Arial"/>
          <w:sz w:val="24"/>
          <w:szCs w:val="24"/>
        </w:rPr>
        <w:t xml:space="preserve"> </w:t>
      </w:r>
      <w:r w:rsidR="008227C3">
        <w:rPr>
          <w:rFonts w:ascii="Arial" w:hAnsi="Arial" w:cs="Arial"/>
          <w:sz w:val="24"/>
          <w:szCs w:val="24"/>
        </w:rPr>
        <w:t>e</w:t>
      </w:r>
      <w:r w:rsidR="004C4AE2">
        <w:rPr>
          <w:rFonts w:ascii="Arial" w:hAnsi="Arial" w:cs="Arial"/>
          <w:sz w:val="24"/>
          <w:szCs w:val="24"/>
        </w:rPr>
        <w:t xml:space="preserve">n ce compris </w:t>
      </w:r>
      <w:r w:rsidR="00EC186C" w:rsidRPr="00EC186C">
        <w:rPr>
          <w:rFonts w:ascii="Arial" w:hAnsi="Arial" w:cs="Arial"/>
          <w:sz w:val="24"/>
          <w:szCs w:val="24"/>
        </w:rPr>
        <w:t>leur capacité à se coaliser avec les autres actionnaires (</w:t>
      </w:r>
      <w:proofErr w:type="spellStart"/>
      <w:r w:rsidR="00EC186C" w:rsidRPr="00EC186C">
        <w:rPr>
          <w:rFonts w:ascii="Arial" w:hAnsi="Arial" w:cs="Arial"/>
          <w:sz w:val="24"/>
          <w:szCs w:val="24"/>
        </w:rPr>
        <w:t>Leech</w:t>
      </w:r>
      <w:proofErr w:type="spellEnd"/>
      <w:r w:rsidR="00EC186C" w:rsidRPr="00EC186C">
        <w:rPr>
          <w:rFonts w:ascii="Arial" w:hAnsi="Arial" w:cs="Arial"/>
          <w:sz w:val="24"/>
          <w:szCs w:val="24"/>
        </w:rPr>
        <w:t xml:space="preserve"> D., </w:t>
      </w:r>
      <w:proofErr w:type="spellStart"/>
      <w:r w:rsidR="00EC186C" w:rsidRPr="00EC186C">
        <w:rPr>
          <w:rFonts w:ascii="Arial" w:hAnsi="Arial" w:cs="Arial"/>
          <w:sz w:val="24"/>
          <w:szCs w:val="24"/>
        </w:rPr>
        <w:t>Manjon</w:t>
      </w:r>
      <w:proofErr w:type="spellEnd"/>
      <w:r w:rsidR="00EC186C" w:rsidRPr="00EC186C">
        <w:rPr>
          <w:rFonts w:ascii="Arial" w:hAnsi="Arial" w:cs="Arial"/>
          <w:sz w:val="24"/>
          <w:szCs w:val="24"/>
        </w:rPr>
        <w:t xml:space="preserve"> M., 2003).</w:t>
      </w:r>
      <w:r w:rsidR="003B551F">
        <w:rPr>
          <w:rFonts w:ascii="Arial" w:hAnsi="Arial" w:cs="Arial"/>
          <w:sz w:val="24"/>
          <w:szCs w:val="24"/>
        </w:rPr>
        <w:t xml:space="preserve"> </w:t>
      </w:r>
      <w:r w:rsidR="00E2533F">
        <w:rPr>
          <w:rFonts w:ascii="Arial" w:hAnsi="Arial" w:cs="Arial"/>
          <w:sz w:val="24"/>
          <w:szCs w:val="24"/>
        </w:rPr>
        <w:t>En tout état de cause, l</w:t>
      </w:r>
      <w:r w:rsidR="00B2041F">
        <w:rPr>
          <w:rFonts w:ascii="Arial" w:hAnsi="Arial" w:cs="Arial"/>
          <w:sz w:val="24"/>
          <w:szCs w:val="24"/>
        </w:rPr>
        <w:t>e focus sur les éventuels exercice</w:t>
      </w:r>
      <w:r w:rsidR="00F121F9">
        <w:rPr>
          <w:rFonts w:ascii="Arial" w:hAnsi="Arial" w:cs="Arial"/>
          <w:sz w:val="24"/>
          <w:szCs w:val="24"/>
        </w:rPr>
        <w:t>s</w:t>
      </w:r>
      <w:r w:rsidR="00B2041F">
        <w:rPr>
          <w:rFonts w:ascii="Arial" w:hAnsi="Arial" w:cs="Arial"/>
          <w:sz w:val="24"/>
          <w:szCs w:val="24"/>
        </w:rPr>
        <w:t xml:space="preserve"> de coalisation déplace</w:t>
      </w:r>
      <w:r w:rsidR="003A6A46">
        <w:rPr>
          <w:rFonts w:ascii="Arial" w:hAnsi="Arial" w:cs="Arial"/>
          <w:sz w:val="24"/>
          <w:szCs w:val="24"/>
        </w:rPr>
        <w:t>rait</w:t>
      </w:r>
      <w:r w:rsidR="00B2041F">
        <w:rPr>
          <w:rFonts w:ascii="Arial" w:hAnsi="Arial" w:cs="Arial"/>
          <w:sz w:val="24"/>
          <w:szCs w:val="24"/>
        </w:rPr>
        <w:t xml:space="preserve"> derechef les problèmes d’agence</w:t>
      </w:r>
      <w:r w:rsidR="00F66FB6">
        <w:rPr>
          <w:rFonts w:ascii="Arial" w:hAnsi="Arial" w:cs="Arial"/>
          <w:sz w:val="24"/>
          <w:szCs w:val="24"/>
        </w:rPr>
        <w:t xml:space="preserve"> d’une vision principal/agent vers une vision principal/principal (</w:t>
      </w:r>
      <w:r w:rsidR="00F121F9" w:rsidRPr="00F121F9">
        <w:rPr>
          <w:rFonts w:ascii="Arial" w:hAnsi="Arial" w:cs="Arial"/>
          <w:sz w:val="24"/>
          <w:szCs w:val="24"/>
        </w:rPr>
        <w:t>Sutton</w:t>
      </w:r>
      <w:r w:rsidR="002A2301">
        <w:rPr>
          <w:rFonts w:ascii="Arial" w:hAnsi="Arial" w:cs="Arial"/>
          <w:sz w:val="24"/>
          <w:szCs w:val="24"/>
        </w:rPr>
        <w:t xml:space="preserve"> C., </w:t>
      </w:r>
      <w:proofErr w:type="spellStart"/>
      <w:r w:rsidR="00F121F9" w:rsidRPr="00F121F9">
        <w:rPr>
          <w:rFonts w:ascii="Arial" w:hAnsi="Arial" w:cs="Arial"/>
          <w:sz w:val="24"/>
          <w:szCs w:val="24"/>
        </w:rPr>
        <w:t>Veliyath</w:t>
      </w:r>
      <w:proofErr w:type="spellEnd"/>
      <w:r w:rsidR="002A2301">
        <w:rPr>
          <w:rFonts w:ascii="Arial" w:hAnsi="Arial" w:cs="Arial"/>
          <w:sz w:val="24"/>
          <w:szCs w:val="24"/>
        </w:rPr>
        <w:t xml:space="preserve"> R., </w:t>
      </w:r>
      <w:proofErr w:type="spellStart"/>
      <w:r w:rsidR="00F121F9" w:rsidRPr="00F121F9">
        <w:rPr>
          <w:rFonts w:ascii="Arial" w:hAnsi="Arial" w:cs="Arial"/>
          <w:sz w:val="24"/>
          <w:szCs w:val="24"/>
        </w:rPr>
        <w:t>Pieper</w:t>
      </w:r>
      <w:proofErr w:type="spellEnd"/>
      <w:r w:rsidR="005452A3">
        <w:rPr>
          <w:rFonts w:ascii="Arial" w:hAnsi="Arial" w:cs="Arial"/>
          <w:sz w:val="24"/>
          <w:szCs w:val="24"/>
        </w:rPr>
        <w:t xml:space="preserve"> T., </w:t>
      </w:r>
      <w:proofErr w:type="spellStart"/>
      <w:r w:rsidR="00F121F9" w:rsidRPr="00F121F9">
        <w:rPr>
          <w:rFonts w:ascii="Arial" w:hAnsi="Arial" w:cs="Arial"/>
          <w:sz w:val="24"/>
          <w:szCs w:val="24"/>
        </w:rPr>
        <w:t>Hair</w:t>
      </w:r>
      <w:proofErr w:type="spellEnd"/>
      <w:r w:rsidR="00AE7210">
        <w:rPr>
          <w:rFonts w:ascii="Arial" w:hAnsi="Arial" w:cs="Arial"/>
          <w:sz w:val="24"/>
          <w:szCs w:val="24"/>
        </w:rPr>
        <w:t xml:space="preserve"> </w:t>
      </w:r>
      <w:r w:rsidR="009836AC">
        <w:rPr>
          <w:rFonts w:ascii="Arial" w:hAnsi="Arial" w:cs="Arial"/>
          <w:sz w:val="24"/>
          <w:szCs w:val="24"/>
        </w:rPr>
        <w:t xml:space="preserve">J., </w:t>
      </w:r>
      <w:proofErr w:type="spellStart"/>
      <w:r w:rsidR="00F121F9" w:rsidRPr="00F121F9">
        <w:rPr>
          <w:rFonts w:ascii="Arial" w:hAnsi="Arial" w:cs="Arial"/>
          <w:sz w:val="24"/>
          <w:szCs w:val="24"/>
        </w:rPr>
        <w:t>Caylor</w:t>
      </w:r>
      <w:proofErr w:type="spellEnd"/>
      <w:r w:rsidR="009836AC">
        <w:rPr>
          <w:rFonts w:ascii="Arial" w:hAnsi="Arial" w:cs="Arial"/>
          <w:sz w:val="24"/>
          <w:szCs w:val="24"/>
        </w:rPr>
        <w:t xml:space="preserve"> M., </w:t>
      </w:r>
      <w:r w:rsidR="003A6A46">
        <w:rPr>
          <w:rFonts w:ascii="Arial" w:hAnsi="Arial" w:cs="Arial"/>
          <w:sz w:val="24"/>
          <w:szCs w:val="24"/>
        </w:rPr>
        <w:t>2018).</w:t>
      </w:r>
      <w:r w:rsidR="00E2533F">
        <w:rPr>
          <w:rFonts w:ascii="Arial" w:hAnsi="Arial" w:cs="Arial"/>
          <w:sz w:val="24"/>
          <w:szCs w:val="24"/>
        </w:rPr>
        <w:t xml:space="preserve"> </w:t>
      </w:r>
    </w:p>
    <w:p w14:paraId="41793C40" w14:textId="4181A8F3" w:rsidR="00E342B3" w:rsidRDefault="005B1AD4" w:rsidP="006522AA">
      <w:pPr>
        <w:spacing w:line="240" w:lineRule="auto"/>
        <w:ind w:left="708"/>
        <w:jc w:val="both"/>
        <w:rPr>
          <w:rFonts w:ascii="Arial" w:hAnsi="Arial" w:cs="Arial"/>
          <w:sz w:val="24"/>
          <w:szCs w:val="24"/>
        </w:rPr>
      </w:pPr>
      <w:r>
        <w:rPr>
          <w:rFonts w:ascii="Arial" w:hAnsi="Arial" w:cs="Arial"/>
          <w:sz w:val="24"/>
          <w:szCs w:val="24"/>
        </w:rPr>
        <w:t xml:space="preserve">Nous pensons donc </w:t>
      </w:r>
      <w:r w:rsidRPr="005B1AD4">
        <w:rPr>
          <w:rFonts w:ascii="Arial" w:hAnsi="Arial" w:cs="Arial"/>
          <w:sz w:val="24"/>
          <w:szCs w:val="24"/>
        </w:rPr>
        <w:t xml:space="preserve">que les structures de propriété </w:t>
      </w:r>
      <w:r>
        <w:rPr>
          <w:rFonts w:ascii="Arial" w:hAnsi="Arial" w:cs="Arial"/>
          <w:sz w:val="24"/>
          <w:szCs w:val="24"/>
        </w:rPr>
        <w:t>doivent être abordées comme</w:t>
      </w:r>
      <w:r w:rsidRPr="005B1AD4">
        <w:rPr>
          <w:rFonts w:ascii="Arial" w:hAnsi="Arial" w:cs="Arial"/>
          <w:sz w:val="24"/>
          <w:szCs w:val="24"/>
        </w:rPr>
        <w:t xml:space="preserve"> des lieux spécifiques au sein desquels des actionnaires peuvent soit se coaliser, soit se confronter.</w:t>
      </w:r>
      <w:r w:rsidR="004D68BE">
        <w:rPr>
          <w:rFonts w:ascii="Arial" w:hAnsi="Arial" w:cs="Arial"/>
          <w:sz w:val="24"/>
          <w:szCs w:val="24"/>
        </w:rPr>
        <w:t xml:space="preserve"> En prenant appui sur le profil et les attentes des investisseurs institutionnels</w:t>
      </w:r>
      <w:r w:rsidR="00740D3C">
        <w:rPr>
          <w:rFonts w:ascii="Arial" w:hAnsi="Arial" w:cs="Arial"/>
          <w:sz w:val="24"/>
          <w:szCs w:val="24"/>
        </w:rPr>
        <w:t xml:space="preserve"> et au-delà d</w:t>
      </w:r>
      <w:r w:rsidR="006522AA">
        <w:rPr>
          <w:rFonts w:ascii="Arial" w:hAnsi="Arial" w:cs="Arial"/>
          <w:sz w:val="24"/>
          <w:szCs w:val="24"/>
        </w:rPr>
        <w:t>’une</w:t>
      </w:r>
      <w:r w:rsidR="00740D3C">
        <w:rPr>
          <w:rFonts w:ascii="Arial" w:hAnsi="Arial" w:cs="Arial"/>
          <w:sz w:val="24"/>
          <w:szCs w:val="24"/>
        </w:rPr>
        <w:t xml:space="preserve"> perception de </w:t>
      </w:r>
      <w:r w:rsidR="006522AA">
        <w:rPr>
          <w:rFonts w:ascii="Arial" w:hAnsi="Arial" w:cs="Arial"/>
          <w:sz w:val="24"/>
          <w:szCs w:val="24"/>
        </w:rPr>
        <w:t xml:space="preserve">la </w:t>
      </w:r>
      <w:r w:rsidR="00740D3C">
        <w:rPr>
          <w:rFonts w:ascii="Arial" w:hAnsi="Arial" w:cs="Arial"/>
          <w:sz w:val="24"/>
          <w:szCs w:val="24"/>
        </w:rPr>
        <w:t>sous-valorisation boursière de l’entreprise</w:t>
      </w:r>
      <w:r w:rsidR="00CA56E5">
        <w:rPr>
          <w:rFonts w:ascii="Arial" w:hAnsi="Arial" w:cs="Arial"/>
          <w:sz w:val="24"/>
          <w:szCs w:val="24"/>
        </w:rPr>
        <w:t xml:space="preserve">, ceux-ci auraient théoriquement tendance à essayer de se positionner au sein de contextes actionnariaux qui leur seraient largement </w:t>
      </w:r>
      <w:r w:rsidR="002A7492">
        <w:rPr>
          <w:rFonts w:ascii="Arial" w:hAnsi="Arial" w:cs="Arial"/>
          <w:sz w:val="24"/>
          <w:szCs w:val="24"/>
        </w:rPr>
        <w:t>acquis</w:t>
      </w:r>
      <w:r w:rsidR="005D0C4A">
        <w:rPr>
          <w:rFonts w:ascii="Arial" w:hAnsi="Arial" w:cs="Arial"/>
          <w:sz w:val="24"/>
          <w:szCs w:val="24"/>
        </w:rPr>
        <w:t xml:space="preserve"> (des structures de propriété fortement éclatées, </w:t>
      </w:r>
      <w:r w:rsidR="007E0B82">
        <w:rPr>
          <w:rFonts w:ascii="Arial" w:hAnsi="Arial" w:cs="Arial"/>
          <w:sz w:val="24"/>
          <w:szCs w:val="24"/>
        </w:rPr>
        <w:t>une présence</w:t>
      </w:r>
      <w:r w:rsidR="004F56FE">
        <w:rPr>
          <w:rFonts w:ascii="Arial" w:hAnsi="Arial" w:cs="Arial"/>
          <w:sz w:val="24"/>
          <w:szCs w:val="24"/>
        </w:rPr>
        <w:t xml:space="preserve"> historiquement ancrée d’autres investisseurs institutionnels</w:t>
      </w:r>
      <w:r w:rsidR="00E620CB">
        <w:rPr>
          <w:rFonts w:ascii="Arial" w:hAnsi="Arial" w:cs="Arial"/>
          <w:sz w:val="24"/>
          <w:szCs w:val="24"/>
        </w:rPr>
        <w:t xml:space="preserve">, des failles dans la perspective familiale de </w:t>
      </w:r>
      <w:r w:rsidR="006522AA">
        <w:rPr>
          <w:rFonts w:ascii="Arial" w:hAnsi="Arial" w:cs="Arial"/>
          <w:sz w:val="24"/>
          <w:szCs w:val="24"/>
        </w:rPr>
        <w:t>l’entreprise…</w:t>
      </w:r>
      <w:r w:rsidR="00E620CB">
        <w:rPr>
          <w:rFonts w:ascii="Arial" w:hAnsi="Arial" w:cs="Arial"/>
          <w:sz w:val="24"/>
          <w:szCs w:val="24"/>
        </w:rPr>
        <w:t>).</w:t>
      </w:r>
      <w:r w:rsidR="006522AA">
        <w:rPr>
          <w:rFonts w:ascii="Arial" w:hAnsi="Arial" w:cs="Arial"/>
          <w:sz w:val="24"/>
          <w:szCs w:val="24"/>
        </w:rPr>
        <w:t xml:space="preserve"> Dans cette optique, c</w:t>
      </w:r>
      <w:r w:rsidR="00E342B3">
        <w:rPr>
          <w:rFonts w:ascii="Arial" w:hAnsi="Arial" w:cs="Arial"/>
          <w:sz w:val="24"/>
          <w:szCs w:val="24"/>
        </w:rPr>
        <w:t>ertaines études ont démontré qu</w:t>
      </w:r>
      <w:r w:rsidR="00DA7703">
        <w:rPr>
          <w:rFonts w:ascii="Arial" w:hAnsi="Arial" w:cs="Arial"/>
          <w:sz w:val="24"/>
          <w:szCs w:val="24"/>
        </w:rPr>
        <w:t xml:space="preserve">e le </w:t>
      </w:r>
      <w:r w:rsidR="0036684A">
        <w:rPr>
          <w:rFonts w:ascii="Arial" w:hAnsi="Arial" w:cs="Arial"/>
          <w:sz w:val="24"/>
          <w:szCs w:val="24"/>
        </w:rPr>
        <w:t xml:space="preserve">contexte familial </w:t>
      </w:r>
      <w:r w:rsidR="0019196C">
        <w:rPr>
          <w:rFonts w:ascii="Arial" w:hAnsi="Arial" w:cs="Arial"/>
          <w:sz w:val="24"/>
          <w:szCs w:val="24"/>
        </w:rPr>
        <w:t>engendra</w:t>
      </w:r>
      <w:r w:rsidR="00452D77">
        <w:rPr>
          <w:rFonts w:ascii="Arial" w:hAnsi="Arial" w:cs="Arial"/>
          <w:sz w:val="24"/>
          <w:szCs w:val="24"/>
        </w:rPr>
        <w:t xml:space="preserve">it des </w:t>
      </w:r>
      <w:r w:rsidR="00276067">
        <w:rPr>
          <w:rFonts w:ascii="Arial" w:hAnsi="Arial" w:cs="Arial"/>
          <w:sz w:val="24"/>
          <w:szCs w:val="24"/>
        </w:rPr>
        <w:t xml:space="preserve">questions d’agence très spécifiques qui pouvaient tempérer </w:t>
      </w:r>
      <w:r w:rsidR="00671B52">
        <w:rPr>
          <w:rFonts w:ascii="Arial" w:hAnsi="Arial" w:cs="Arial"/>
          <w:sz w:val="24"/>
          <w:szCs w:val="24"/>
        </w:rPr>
        <w:t>les volontés d’intrusion dans le capital</w:t>
      </w:r>
      <w:r w:rsidR="0016011F">
        <w:rPr>
          <w:rFonts w:ascii="Arial" w:hAnsi="Arial" w:cs="Arial"/>
          <w:sz w:val="24"/>
          <w:szCs w:val="24"/>
        </w:rPr>
        <w:t> </w:t>
      </w:r>
      <w:r w:rsidR="0092391F">
        <w:rPr>
          <w:rFonts w:ascii="Arial" w:hAnsi="Arial" w:cs="Arial"/>
          <w:sz w:val="24"/>
          <w:szCs w:val="24"/>
        </w:rPr>
        <w:t>(</w:t>
      </w:r>
      <w:r w:rsidR="00513E49" w:rsidRPr="00513E49">
        <w:rPr>
          <w:rFonts w:ascii="Arial" w:hAnsi="Arial" w:cs="Arial"/>
          <w:sz w:val="24"/>
          <w:szCs w:val="24"/>
        </w:rPr>
        <w:t>W</w:t>
      </w:r>
      <w:r w:rsidR="00513E49">
        <w:rPr>
          <w:rFonts w:ascii="Arial" w:hAnsi="Arial" w:cs="Arial"/>
          <w:sz w:val="24"/>
          <w:szCs w:val="24"/>
        </w:rPr>
        <w:t xml:space="preserve">u Z., </w:t>
      </w:r>
      <w:proofErr w:type="spellStart"/>
      <w:r w:rsidR="00513E49" w:rsidRPr="00513E49">
        <w:rPr>
          <w:rFonts w:ascii="Arial" w:hAnsi="Arial" w:cs="Arial"/>
          <w:sz w:val="24"/>
          <w:szCs w:val="24"/>
        </w:rPr>
        <w:t>Chua</w:t>
      </w:r>
      <w:proofErr w:type="spellEnd"/>
      <w:r w:rsidR="00634E9E">
        <w:rPr>
          <w:rFonts w:ascii="Arial" w:hAnsi="Arial" w:cs="Arial"/>
          <w:sz w:val="24"/>
          <w:szCs w:val="24"/>
        </w:rPr>
        <w:t xml:space="preserve"> J.,</w:t>
      </w:r>
      <w:r w:rsidR="00513E49" w:rsidRPr="00513E49">
        <w:rPr>
          <w:rFonts w:ascii="Arial" w:hAnsi="Arial" w:cs="Arial"/>
          <w:sz w:val="24"/>
          <w:szCs w:val="24"/>
        </w:rPr>
        <w:t xml:space="preserve"> </w:t>
      </w:r>
      <w:proofErr w:type="spellStart"/>
      <w:r w:rsidR="00513E49" w:rsidRPr="00513E49">
        <w:rPr>
          <w:rFonts w:ascii="Arial" w:hAnsi="Arial" w:cs="Arial"/>
          <w:sz w:val="24"/>
          <w:szCs w:val="24"/>
        </w:rPr>
        <w:t>Chrisman</w:t>
      </w:r>
      <w:proofErr w:type="spellEnd"/>
      <w:r w:rsidR="00E21264">
        <w:rPr>
          <w:rFonts w:ascii="Arial" w:hAnsi="Arial" w:cs="Arial"/>
          <w:sz w:val="24"/>
          <w:szCs w:val="24"/>
        </w:rPr>
        <w:t xml:space="preserve"> J., 2007) </w:t>
      </w:r>
      <w:r w:rsidR="0016011F">
        <w:rPr>
          <w:rFonts w:ascii="Arial" w:hAnsi="Arial" w:cs="Arial"/>
          <w:sz w:val="24"/>
          <w:szCs w:val="24"/>
        </w:rPr>
        <w:t>; en tout état de cause, il semble</w:t>
      </w:r>
      <w:r w:rsidR="00D2039D">
        <w:rPr>
          <w:rFonts w:ascii="Arial" w:hAnsi="Arial" w:cs="Arial"/>
          <w:sz w:val="24"/>
          <w:szCs w:val="24"/>
        </w:rPr>
        <w:t>rait</w:t>
      </w:r>
      <w:r w:rsidR="0016011F">
        <w:rPr>
          <w:rFonts w:ascii="Arial" w:hAnsi="Arial" w:cs="Arial"/>
          <w:sz w:val="24"/>
          <w:szCs w:val="24"/>
        </w:rPr>
        <w:t xml:space="preserve"> que des contours familiaux </w:t>
      </w:r>
      <w:r w:rsidR="0036684A">
        <w:rPr>
          <w:rFonts w:ascii="Arial" w:hAnsi="Arial" w:cs="Arial"/>
          <w:sz w:val="24"/>
          <w:szCs w:val="24"/>
        </w:rPr>
        <w:t>n</w:t>
      </w:r>
      <w:r w:rsidR="002A7492">
        <w:rPr>
          <w:rFonts w:ascii="Arial" w:hAnsi="Arial" w:cs="Arial"/>
          <w:sz w:val="24"/>
          <w:szCs w:val="24"/>
        </w:rPr>
        <w:t>e favorisai</w:t>
      </w:r>
      <w:r w:rsidR="0016011F">
        <w:rPr>
          <w:rFonts w:ascii="Arial" w:hAnsi="Arial" w:cs="Arial"/>
          <w:sz w:val="24"/>
          <w:szCs w:val="24"/>
        </w:rPr>
        <w:t>en</w:t>
      </w:r>
      <w:r w:rsidR="002A7492">
        <w:rPr>
          <w:rFonts w:ascii="Arial" w:hAnsi="Arial" w:cs="Arial"/>
          <w:sz w:val="24"/>
          <w:szCs w:val="24"/>
        </w:rPr>
        <w:t xml:space="preserve">t pas </w:t>
      </w:r>
      <w:r w:rsidR="0036684A">
        <w:rPr>
          <w:rFonts w:ascii="Arial" w:hAnsi="Arial" w:cs="Arial"/>
          <w:sz w:val="24"/>
          <w:szCs w:val="24"/>
        </w:rPr>
        <w:t>l</w:t>
      </w:r>
      <w:r w:rsidR="00FF5532">
        <w:rPr>
          <w:rFonts w:ascii="Arial" w:hAnsi="Arial" w:cs="Arial"/>
          <w:sz w:val="24"/>
          <w:szCs w:val="24"/>
        </w:rPr>
        <w:t>a présence d’investisseurs institutionnels</w:t>
      </w:r>
      <w:r w:rsidR="00FD3C02">
        <w:rPr>
          <w:rFonts w:ascii="Arial" w:hAnsi="Arial" w:cs="Arial"/>
          <w:sz w:val="24"/>
          <w:szCs w:val="24"/>
        </w:rPr>
        <w:t xml:space="preserve"> </w:t>
      </w:r>
      <w:r w:rsidR="00B77883">
        <w:rPr>
          <w:rFonts w:ascii="Arial" w:hAnsi="Arial" w:cs="Arial"/>
          <w:sz w:val="24"/>
          <w:szCs w:val="24"/>
        </w:rPr>
        <w:lastRenderedPageBreak/>
        <w:t xml:space="preserve">actifs </w:t>
      </w:r>
      <w:r w:rsidR="002657C9">
        <w:rPr>
          <w:rFonts w:ascii="Arial" w:hAnsi="Arial" w:cs="Arial"/>
          <w:sz w:val="24"/>
          <w:szCs w:val="24"/>
        </w:rPr>
        <w:t xml:space="preserve">dans le voisinage de l’actionnaire de référence </w:t>
      </w:r>
      <w:r w:rsidR="00FD3C02">
        <w:rPr>
          <w:rFonts w:ascii="Arial" w:hAnsi="Arial" w:cs="Arial"/>
          <w:sz w:val="24"/>
          <w:szCs w:val="24"/>
        </w:rPr>
        <w:t>(</w:t>
      </w:r>
      <w:r w:rsidR="00781A87" w:rsidRPr="00781A87">
        <w:rPr>
          <w:rFonts w:ascii="Arial" w:hAnsi="Arial" w:cs="Arial"/>
          <w:sz w:val="24"/>
          <w:szCs w:val="24"/>
        </w:rPr>
        <w:t>Navarro</w:t>
      </w:r>
      <w:r w:rsidR="00781A87">
        <w:rPr>
          <w:rFonts w:ascii="Arial" w:hAnsi="Arial" w:cs="Arial"/>
          <w:sz w:val="24"/>
          <w:szCs w:val="24"/>
        </w:rPr>
        <w:t xml:space="preserve"> M., </w:t>
      </w:r>
      <w:r w:rsidR="00781A87" w:rsidRPr="00781A87">
        <w:rPr>
          <w:rFonts w:ascii="Arial" w:hAnsi="Arial" w:cs="Arial"/>
          <w:sz w:val="24"/>
          <w:szCs w:val="24"/>
        </w:rPr>
        <w:t>Gómez</w:t>
      </w:r>
      <w:r w:rsidR="00781A87">
        <w:rPr>
          <w:rFonts w:ascii="Arial" w:hAnsi="Arial" w:cs="Arial"/>
          <w:sz w:val="24"/>
          <w:szCs w:val="24"/>
        </w:rPr>
        <w:t xml:space="preserve"> S., </w:t>
      </w:r>
      <w:r w:rsidR="00781A87" w:rsidRPr="00781A87">
        <w:rPr>
          <w:rFonts w:ascii="Arial" w:hAnsi="Arial" w:cs="Arial"/>
          <w:sz w:val="24"/>
          <w:szCs w:val="24"/>
        </w:rPr>
        <w:t>García</w:t>
      </w:r>
      <w:r w:rsidR="002657C9">
        <w:rPr>
          <w:rFonts w:ascii="Arial" w:hAnsi="Arial" w:cs="Arial"/>
          <w:sz w:val="24"/>
          <w:szCs w:val="24"/>
        </w:rPr>
        <w:t xml:space="preserve"> L., 2011).</w:t>
      </w:r>
    </w:p>
    <w:p w14:paraId="662F1890" w14:textId="1AF8B04B" w:rsidR="000E7D0C" w:rsidRDefault="000E7D0C" w:rsidP="006522AA">
      <w:pPr>
        <w:spacing w:line="240" w:lineRule="auto"/>
        <w:ind w:left="708"/>
        <w:jc w:val="both"/>
        <w:rPr>
          <w:rFonts w:ascii="Arial" w:hAnsi="Arial" w:cs="Arial"/>
          <w:sz w:val="24"/>
          <w:szCs w:val="24"/>
        </w:rPr>
      </w:pPr>
      <w:r>
        <w:rPr>
          <w:rFonts w:ascii="Arial" w:hAnsi="Arial" w:cs="Arial"/>
          <w:sz w:val="24"/>
          <w:szCs w:val="24"/>
        </w:rPr>
        <w:t>Sur base de ce relevé de la littérature</w:t>
      </w:r>
      <w:r w:rsidR="00902F10">
        <w:rPr>
          <w:rFonts w:ascii="Arial" w:hAnsi="Arial" w:cs="Arial"/>
          <w:sz w:val="24"/>
          <w:szCs w:val="24"/>
        </w:rPr>
        <w:t xml:space="preserve">, la question de recherche que nous nous proposons d’investiguer sera formulée de la manière suivante : </w:t>
      </w:r>
      <w:r w:rsidR="00A9650F">
        <w:rPr>
          <w:rFonts w:ascii="Arial" w:hAnsi="Arial" w:cs="Arial"/>
          <w:sz w:val="24"/>
          <w:szCs w:val="24"/>
        </w:rPr>
        <w:t>l</w:t>
      </w:r>
      <w:r w:rsidR="00CC6FAC">
        <w:rPr>
          <w:rFonts w:ascii="Arial" w:hAnsi="Arial" w:cs="Arial"/>
          <w:sz w:val="24"/>
          <w:szCs w:val="24"/>
        </w:rPr>
        <w:t>’exe</w:t>
      </w:r>
      <w:r w:rsidR="00446E81">
        <w:rPr>
          <w:rFonts w:ascii="Arial" w:hAnsi="Arial" w:cs="Arial"/>
          <w:sz w:val="24"/>
          <w:szCs w:val="24"/>
        </w:rPr>
        <w:t>r</w:t>
      </w:r>
      <w:r w:rsidR="00CC6FAC">
        <w:rPr>
          <w:rFonts w:ascii="Arial" w:hAnsi="Arial" w:cs="Arial"/>
          <w:sz w:val="24"/>
          <w:szCs w:val="24"/>
        </w:rPr>
        <w:t>cice</w:t>
      </w:r>
      <w:r w:rsidR="00A9650F">
        <w:rPr>
          <w:rFonts w:ascii="Arial" w:hAnsi="Arial" w:cs="Arial"/>
          <w:sz w:val="24"/>
          <w:szCs w:val="24"/>
        </w:rPr>
        <w:t xml:space="preserve"> activiste des investisseurs institutionnels diffère</w:t>
      </w:r>
      <w:r w:rsidR="005A117A">
        <w:rPr>
          <w:rFonts w:ascii="Arial" w:hAnsi="Arial" w:cs="Arial"/>
          <w:sz w:val="24"/>
          <w:szCs w:val="24"/>
        </w:rPr>
        <w:t>-t</w:t>
      </w:r>
      <w:r w:rsidR="00A9650F">
        <w:rPr>
          <w:rFonts w:ascii="Arial" w:hAnsi="Arial" w:cs="Arial"/>
          <w:sz w:val="24"/>
          <w:szCs w:val="24"/>
        </w:rPr>
        <w:t>-</w:t>
      </w:r>
      <w:r w:rsidR="005A117A">
        <w:rPr>
          <w:rFonts w:ascii="Arial" w:hAnsi="Arial" w:cs="Arial"/>
          <w:sz w:val="24"/>
          <w:szCs w:val="24"/>
        </w:rPr>
        <w:t>il</w:t>
      </w:r>
      <w:r w:rsidR="00A9650F">
        <w:rPr>
          <w:rFonts w:ascii="Arial" w:hAnsi="Arial" w:cs="Arial"/>
          <w:sz w:val="24"/>
          <w:szCs w:val="24"/>
        </w:rPr>
        <w:t xml:space="preserve"> </w:t>
      </w:r>
      <w:r w:rsidR="00B94D32">
        <w:rPr>
          <w:rFonts w:ascii="Arial" w:hAnsi="Arial" w:cs="Arial"/>
          <w:sz w:val="24"/>
          <w:szCs w:val="24"/>
        </w:rPr>
        <w:t xml:space="preserve">en fonction du contexte actionnarial ? Pour répondre à cette </w:t>
      </w:r>
      <w:r w:rsidR="00812E07">
        <w:rPr>
          <w:rFonts w:ascii="Arial" w:hAnsi="Arial" w:cs="Arial"/>
          <w:sz w:val="24"/>
          <w:szCs w:val="24"/>
        </w:rPr>
        <w:t xml:space="preserve">question, nous considérons deux entreprises </w:t>
      </w:r>
      <w:r w:rsidR="00442EF5">
        <w:rPr>
          <w:rFonts w:ascii="Arial" w:hAnsi="Arial" w:cs="Arial"/>
          <w:sz w:val="24"/>
          <w:szCs w:val="24"/>
        </w:rPr>
        <w:t xml:space="preserve">françaises </w:t>
      </w:r>
      <w:r w:rsidR="00812E07">
        <w:rPr>
          <w:rFonts w:ascii="Arial" w:hAnsi="Arial" w:cs="Arial"/>
          <w:sz w:val="24"/>
          <w:szCs w:val="24"/>
        </w:rPr>
        <w:t>– les groupes Accor et Lagard</w:t>
      </w:r>
      <w:r w:rsidR="00442EF5">
        <w:rPr>
          <w:rFonts w:ascii="Arial" w:hAnsi="Arial" w:cs="Arial"/>
          <w:sz w:val="24"/>
          <w:szCs w:val="24"/>
        </w:rPr>
        <w:t>ère – soumises à de l’activisme</w:t>
      </w:r>
      <w:r w:rsidR="00393AED">
        <w:rPr>
          <w:rFonts w:ascii="Arial" w:hAnsi="Arial" w:cs="Arial"/>
          <w:sz w:val="24"/>
          <w:szCs w:val="24"/>
        </w:rPr>
        <w:t xml:space="preserve"> </w:t>
      </w:r>
      <w:r w:rsidR="007560C3">
        <w:rPr>
          <w:rFonts w:ascii="Arial" w:hAnsi="Arial" w:cs="Arial"/>
          <w:sz w:val="24"/>
          <w:szCs w:val="24"/>
        </w:rPr>
        <w:t xml:space="preserve">d’investisseurs anglo-saxons </w:t>
      </w:r>
      <w:r w:rsidR="00393AED">
        <w:rPr>
          <w:rFonts w:ascii="Arial" w:hAnsi="Arial" w:cs="Arial"/>
          <w:sz w:val="24"/>
          <w:szCs w:val="24"/>
        </w:rPr>
        <w:t>et présentant des contours actionnariaux sensiblement différents.</w:t>
      </w:r>
      <w:r w:rsidR="004E59A5">
        <w:rPr>
          <w:rFonts w:ascii="Arial" w:hAnsi="Arial" w:cs="Arial"/>
          <w:sz w:val="24"/>
          <w:szCs w:val="24"/>
        </w:rPr>
        <w:t xml:space="preserve"> </w:t>
      </w:r>
      <w:r w:rsidR="0096128F">
        <w:rPr>
          <w:rFonts w:ascii="Arial" w:hAnsi="Arial" w:cs="Arial"/>
          <w:sz w:val="24"/>
          <w:szCs w:val="24"/>
        </w:rPr>
        <w:t xml:space="preserve">Les prismes d’analyse se feront au travers des aspects </w:t>
      </w:r>
      <w:r w:rsidR="00551541">
        <w:rPr>
          <w:rFonts w:ascii="Arial" w:hAnsi="Arial" w:cs="Arial"/>
          <w:sz w:val="24"/>
          <w:szCs w:val="24"/>
        </w:rPr>
        <w:t xml:space="preserve">stratégiques, </w:t>
      </w:r>
      <w:r w:rsidR="0096128F">
        <w:rPr>
          <w:rFonts w:ascii="Arial" w:hAnsi="Arial" w:cs="Arial"/>
          <w:sz w:val="24"/>
          <w:szCs w:val="24"/>
        </w:rPr>
        <w:t>actionnariaux</w:t>
      </w:r>
      <w:r w:rsidR="00346448">
        <w:rPr>
          <w:rFonts w:ascii="Arial" w:hAnsi="Arial" w:cs="Arial"/>
          <w:sz w:val="24"/>
          <w:szCs w:val="24"/>
        </w:rPr>
        <w:t xml:space="preserve">, financiers et de gouvernance. </w:t>
      </w:r>
      <w:r w:rsidR="00F11E73">
        <w:rPr>
          <w:rFonts w:ascii="Arial" w:hAnsi="Arial" w:cs="Arial"/>
          <w:sz w:val="24"/>
          <w:szCs w:val="24"/>
        </w:rPr>
        <w:t xml:space="preserve">Une attention toute particulière sera également </w:t>
      </w:r>
      <w:r w:rsidR="00814066">
        <w:rPr>
          <w:rFonts w:ascii="Arial" w:hAnsi="Arial" w:cs="Arial"/>
          <w:sz w:val="24"/>
          <w:szCs w:val="24"/>
        </w:rPr>
        <w:t xml:space="preserve">exercée </w:t>
      </w:r>
      <w:r w:rsidR="005B1EB5">
        <w:rPr>
          <w:rFonts w:ascii="Arial" w:hAnsi="Arial" w:cs="Arial"/>
          <w:sz w:val="24"/>
          <w:szCs w:val="24"/>
        </w:rPr>
        <w:t xml:space="preserve">quant à l’éventuelle influence de la sphère politique et/ou de réseaux d’affaires construits en amont. </w:t>
      </w:r>
      <w:r w:rsidR="004A0EE1">
        <w:rPr>
          <w:rFonts w:ascii="Arial" w:hAnsi="Arial" w:cs="Arial"/>
          <w:sz w:val="24"/>
          <w:szCs w:val="24"/>
        </w:rPr>
        <w:t>Dans la logique de ce dernier point et a</w:t>
      </w:r>
      <w:r w:rsidR="002746B1">
        <w:rPr>
          <w:rFonts w:ascii="Arial" w:hAnsi="Arial" w:cs="Arial"/>
          <w:sz w:val="24"/>
          <w:szCs w:val="24"/>
        </w:rPr>
        <w:t xml:space="preserve">fin de comprendre la réalité de ces entreprises, il nous est paru nécessaire de les </w:t>
      </w:r>
      <w:r w:rsidR="00DF4601">
        <w:rPr>
          <w:rFonts w:ascii="Arial" w:hAnsi="Arial" w:cs="Arial"/>
          <w:sz w:val="24"/>
          <w:szCs w:val="24"/>
        </w:rPr>
        <w:t xml:space="preserve">positionner dans un contexte général d’évolution </w:t>
      </w:r>
      <w:r w:rsidR="0009215D">
        <w:rPr>
          <w:rFonts w:ascii="Arial" w:hAnsi="Arial" w:cs="Arial"/>
          <w:sz w:val="24"/>
          <w:szCs w:val="24"/>
        </w:rPr>
        <w:t xml:space="preserve">du capitalisme </w:t>
      </w:r>
      <w:r w:rsidR="00DF4601">
        <w:rPr>
          <w:rFonts w:ascii="Arial" w:hAnsi="Arial" w:cs="Arial"/>
          <w:sz w:val="24"/>
          <w:szCs w:val="24"/>
        </w:rPr>
        <w:t>sur le marché français.</w:t>
      </w:r>
    </w:p>
    <w:p w14:paraId="66CBF2A8" w14:textId="77777777" w:rsidR="00B816BF" w:rsidRPr="00AD7A32" w:rsidRDefault="00B816BF" w:rsidP="00AD7A32">
      <w:pPr>
        <w:pStyle w:val="Paragraphedeliste"/>
        <w:spacing w:line="240" w:lineRule="auto"/>
        <w:jc w:val="both"/>
        <w:rPr>
          <w:rFonts w:ascii="Arial" w:hAnsi="Arial" w:cs="Arial"/>
          <w:sz w:val="24"/>
          <w:szCs w:val="24"/>
        </w:rPr>
      </w:pPr>
    </w:p>
    <w:p w14:paraId="39A7D091" w14:textId="361B03D2" w:rsidR="00714C2C" w:rsidRDefault="00AD7A32" w:rsidP="005C2A31">
      <w:pPr>
        <w:pStyle w:val="Paragraphedeliste"/>
        <w:numPr>
          <w:ilvl w:val="0"/>
          <w:numId w:val="1"/>
        </w:numPr>
        <w:spacing w:line="240" w:lineRule="auto"/>
        <w:jc w:val="both"/>
        <w:rPr>
          <w:rFonts w:ascii="Arial" w:hAnsi="Arial" w:cs="Arial"/>
          <w:sz w:val="28"/>
          <w:szCs w:val="28"/>
          <w:u w:val="single"/>
        </w:rPr>
      </w:pPr>
      <w:r>
        <w:rPr>
          <w:rFonts w:ascii="Arial" w:hAnsi="Arial" w:cs="Arial"/>
          <w:sz w:val="28"/>
          <w:szCs w:val="28"/>
          <w:u w:val="single"/>
        </w:rPr>
        <w:t xml:space="preserve">Evolution des contours </w:t>
      </w:r>
      <w:r w:rsidR="0011556E" w:rsidRPr="007D32F4">
        <w:rPr>
          <w:rFonts w:ascii="Arial" w:hAnsi="Arial" w:cs="Arial"/>
          <w:sz w:val="28"/>
          <w:szCs w:val="28"/>
          <w:u w:val="single"/>
        </w:rPr>
        <w:t>du capitalisme à la française</w:t>
      </w:r>
    </w:p>
    <w:p w14:paraId="3E89D96C" w14:textId="77777777" w:rsidR="00FE6001" w:rsidRDefault="00FE6001" w:rsidP="00071506">
      <w:pPr>
        <w:pStyle w:val="Paragraphedeliste"/>
        <w:spacing w:line="240" w:lineRule="auto"/>
        <w:jc w:val="both"/>
        <w:rPr>
          <w:rFonts w:ascii="Arial" w:hAnsi="Arial" w:cs="Arial"/>
          <w:sz w:val="24"/>
          <w:szCs w:val="24"/>
        </w:rPr>
      </w:pPr>
    </w:p>
    <w:p w14:paraId="7C67166C" w14:textId="0F584820" w:rsidR="005734F0" w:rsidRDefault="0031125B" w:rsidP="00230765">
      <w:pPr>
        <w:pStyle w:val="Paragraphedeliste"/>
        <w:spacing w:line="240" w:lineRule="auto"/>
        <w:jc w:val="both"/>
        <w:rPr>
          <w:rFonts w:ascii="Arial" w:hAnsi="Arial" w:cs="Arial"/>
          <w:sz w:val="24"/>
          <w:szCs w:val="24"/>
        </w:rPr>
      </w:pPr>
      <w:r>
        <w:rPr>
          <w:rFonts w:ascii="Arial" w:hAnsi="Arial" w:cs="Arial"/>
          <w:sz w:val="24"/>
          <w:szCs w:val="24"/>
        </w:rPr>
        <w:t>Le capitalisme à la française</w:t>
      </w:r>
      <w:r w:rsidR="0068653F">
        <w:rPr>
          <w:rFonts w:ascii="Arial" w:hAnsi="Arial" w:cs="Arial"/>
          <w:sz w:val="24"/>
          <w:szCs w:val="24"/>
        </w:rPr>
        <w:t xml:space="preserve"> a été largement influencé par </w:t>
      </w:r>
      <w:r w:rsidR="00B97B44">
        <w:rPr>
          <w:rFonts w:ascii="Arial" w:hAnsi="Arial" w:cs="Arial"/>
          <w:sz w:val="24"/>
          <w:szCs w:val="24"/>
        </w:rPr>
        <w:t>de</w:t>
      </w:r>
      <w:r w:rsidR="0068653F">
        <w:rPr>
          <w:rFonts w:ascii="Arial" w:hAnsi="Arial" w:cs="Arial"/>
          <w:sz w:val="24"/>
          <w:szCs w:val="24"/>
        </w:rPr>
        <w:t xml:space="preserve"> grandes orientations politiques</w:t>
      </w:r>
      <w:r w:rsidR="00B97B44">
        <w:rPr>
          <w:rFonts w:ascii="Arial" w:hAnsi="Arial" w:cs="Arial"/>
          <w:sz w:val="24"/>
          <w:szCs w:val="24"/>
        </w:rPr>
        <w:t xml:space="preserve"> (</w:t>
      </w:r>
      <w:r w:rsidR="0068653F">
        <w:rPr>
          <w:rFonts w:ascii="Arial" w:hAnsi="Arial" w:cs="Arial"/>
          <w:sz w:val="24"/>
          <w:szCs w:val="24"/>
        </w:rPr>
        <w:t>voire sociologiques</w:t>
      </w:r>
      <w:r w:rsidR="00B97B44">
        <w:rPr>
          <w:rFonts w:ascii="Arial" w:hAnsi="Arial" w:cs="Arial"/>
          <w:sz w:val="24"/>
          <w:szCs w:val="24"/>
        </w:rPr>
        <w:t>)</w:t>
      </w:r>
      <w:r w:rsidR="0068653F">
        <w:rPr>
          <w:rFonts w:ascii="Arial" w:hAnsi="Arial" w:cs="Arial"/>
          <w:sz w:val="24"/>
          <w:szCs w:val="24"/>
        </w:rPr>
        <w:t xml:space="preserve">. </w:t>
      </w:r>
      <w:r w:rsidR="00B97B44">
        <w:rPr>
          <w:rFonts w:ascii="Arial" w:hAnsi="Arial" w:cs="Arial"/>
          <w:sz w:val="24"/>
          <w:szCs w:val="24"/>
        </w:rPr>
        <w:t>Les différentes p</w:t>
      </w:r>
      <w:r w:rsidR="00B842C9">
        <w:rPr>
          <w:rFonts w:ascii="Arial" w:hAnsi="Arial" w:cs="Arial"/>
          <w:sz w:val="24"/>
          <w:szCs w:val="24"/>
        </w:rPr>
        <w:t xml:space="preserve">hases de nationalisation suivies par celles de reprivatisation </w:t>
      </w:r>
      <w:r w:rsidR="007314B3">
        <w:rPr>
          <w:rFonts w:ascii="Arial" w:hAnsi="Arial" w:cs="Arial"/>
          <w:sz w:val="24"/>
          <w:szCs w:val="24"/>
        </w:rPr>
        <w:t>dans les années 80</w:t>
      </w:r>
      <w:r w:rsidR="00B30990">
        <w:rPr>
          <w:rFonts w:ascii="Arial" w:hAnsi="Arial" w:cs="Arial"/>
          <w:sz w:val="24"/>
          <w:szCs w:val="24"/>
        </w:rPr>
        <w:t xml:space="preserve"> </w:t>
      </w:r>
      <w:r w:rsidR="00B842C9">
        <w:rPr>
          <w:rFonts w:ascii="Arial" w:hAnsi="Arial" w:cs="Arial"/>
          <w:sz w:val="24"/>
          <w:szCs w:val="24"/>
        </w:rPr>
        <w:t>ont</w:t>
      </w:r>
      <w:r w:rsidR="00B30990">
        <w:rPr>
          <w:rFonts w:ascii="Arial" w:hAnsi="Arial" w:cs="Arial"/>
          <w:sz w:val="24"/>
          <w:szCs w:val="24"/>
        </w:rPr>
        <w:t xml:space="preserve"> largement influé sur les structures de propriété des entreprises</w:t>
      </w:r>
      <w:r w:rsidR="007522A3">
        <w:rPr>
          <w:rFonts w:ascii="Arial" w:hAnsi="Arial" w:cs="Arial"/>
          <w:sz w:val="24"/>
          <w:szCs w:val="24"/>
        </w:rPr>
        <w:t>. Toutefois, ces différentes m</w:t>
      </w:r>
      <w:r w:rsidR="00431025">
        <w:rPr>
          <w:rFonts w:ascii="Arial" w:hAnsi="Arial" w:cs="Arial"/>
          <w:sz w:val="24"/>
          <w:szCs w:val="24"/>
        </w:rPr>
        <w:t>esures visai</w:t>
      </w:r>
      <w:r w:rsidR="0023228F">
        <w:rPr>
          <w:rFonts w:ascii="Arial" w:hAnsi="Arial" w:cs="Arial"/>
          <w:sz w:val="24"/>
          <w:szCs w:val="24"/>
        </w:rPr>
        <w:t>e</w:t>
      </w:r>
      <w:r w:rsidR="00431025">
        <w:rPr>
          <w:rFonts w:ascii="Arial" w:hAnsi="Arial" w:cs="Arial"/>
          <w:sz w:val="24"/>
          <w:szCs w:val="24"/>
        </w:rPr>
        <w:t xml:space="preserve">nt à </w:t>
      </w:r>
      <w:r w:rsidR="0023228F">
        <w:rPr>
          <w:rFonts w:ascii="Arial" w:hAnsi="Arial" w:cs="Arial"/>
          <w:sz w:val="24"/>
          <w:szCs w:val="24"/>
        </w:rPr>
        <w:t xml:space="preserve">garantir </w:t>
      </w:r>
      <w:r w:rsidR="00431025">
        <w:rPr>
          <w:rFonts w:ascii="Arial" w:hAnsi="Arial" w:cs="Arial"/>
          <w:sz w:val="24"/>
          <w:szCs w:val="24"/>
        </w:rPr>
        <w:t>un</w:t>
      </w:r>
      <w:r w:rsidR="000F768B">
        <w:rPr>
          <w:rFonts w:ascii="Arial" w:hAnsi="Arial" w:cs="Arial"/>
          <w:sz w:val="24"/>
          <w:szCs w:val="24"/>
        </w:rPr>
        <w:t>e</w:t>
      </w:r>
      <w:r w:rsidR="00431025">
        <w:rPr>
          <w:rFonts w:ascii="Arial" w:hAnsi="Arial" w:cs="Arial"/>
          <w:sz w:val="24"/>
          <w:szCs w:val="24"/>
        </w:rPr>
        <w:t xml:space="preserve"> </w:t>
      </w:r>
      <w:r w:rsidR="000F768B">
        <w:rPr>
          <w:rFonts w:ascii="Arial" w:hAnsi="Arial" w:cs="Arial"/>
          <w:sz w:val="24"/>
          <w:szCs w:val="24"/>
        </w:rPr>
        <w:t>mainmise nationale</w:t>
      </w:r>
      <w:r w:rsidR="00431025">
        <w:rPr>
          <w:rFonts w:ascii="Arial" w:hAnsi="Arial" w:cs="Arial"/>
          <w:sz w:val="24"/>
          <w:szCs w:val="24"/>
        </w:rPr>
        <w:t xml:space="preserve"> </w:t>
      </w:r>
      <w:r w:rsidR="000F768B">
        <w:rPr>
          <w:rFonts w:ascii="Arial" w:hAnsi="Arial" w:cs="Arial"/>
          <w:sz w:val="24"/>
          <w:szCs w:val="24"/>
        </w:rPr>
        <w:t>sur</w:t>
      </w:r>
      <w:r w:rsidR="00431025">
        <w:rPr>
          <w:rFonts w:ascii="Arial" w:hAnsi="Arial" w:cs="Arial"/>
          <w:sz w:val="24"/>
          <w:szCs w:val="24"/>
        </w:rPr>
        <w:t xml:space="preserve"> la propriété industrielle et</w:t>
      </w:r>
      <w:r w:rsidR="0023228F">
        <w:rPr>
          <w:rFonts w:ascii="Arial" w:hAnsi="Arial" w:cs="Arial"/>
          <w:sz w:val="24"/>
          <w:szCs w:val="24"/>
        </w:rPr>
        <w:t xml:space="preserve"> </w:t>
      </w:r>
      <w:r w:rsidR="00431025">
        <w:rPr>
          <w:rFonts w:ascii="Arial" w:hAnsi="Arial" w:cs="Arial"/>
          <w:sz w:val="24"/>
          <w:szCs w:val="24"/>
        </w:rPr>
        <w:t>finan</w:t>
      </w:r>
      <w:r w:rsidR="0023228F">
        <w:rPr>
          <w:rFonts w:ascii="Arial" w:hAnsi="Arial" w:cs="Arial"/>
          <w:sz w:val="24"/>
          <w:szCs w:val="24"/>
        </w:rPr>
        <w:t>cière</w:t>
      </w:r>
      <w:r w:rsidR="00007C60">
        <w:rPr>
          <w:rFonts w:ascii="Arial" w:hAnsi="Arial" w:cs="Arial"/>
          <w:sz w:val="24"/>
          <w:szCs w:val="24"/>
        </w:rPr>
        <w:t>, soit en recourant à une structure faîtière publique</w:t>
      </w:r>
      <w:r w:rsidR="00D855E5">
        <w:rPr>
          <w:rFonts w:ascii="Arial" w:hAnsi="Arial" w:cs="Arial"/>
          <w:sz w:val="24"/>
          <w:szCs w:val="24"/>
        </w:rPr>
        <w:t xml:space="preserve"> (nationalisation)</w:t>
      </w:r>
      <w:r w:rsidR="00007C60">
        <w:rPr>
          <w:rFonts w:ascii="Arial" w:hAnsi="Arial" w:cs="Arial"/>
          <w:sz w:val="24"/>
          <w:szCs w:val="24"/>
        </w:rPr>
        <w:t>, soit par l’intermédiaire de noyaux durs actionnariaux</w:t>
      </w:r>
      <w:r w:rsidR="00D855E5">
        <w:rPr>
          <w:rFonts w:ascii="Arial" w:hAnsi="Arial" w:cs="Arial"/>
          <w:sz w:val="24"/>
          <w:szCs w:val="24"/>
        </w:rPr>
        <w:t xml:space="preserve"> (reprivatisation)</w:t>
      </w:r>
      <w:r w:rsidR="0023228F">
        <w:rPr>
          <w:rFonts w:ascii="Arial" w:hAnsi="Arial" w:cs="Arial"/>
          <w:sz w:val="24"/>
          <w:szCs w:val="24"/>
        </w:rPr>
        <w:t>.</w:t>
      </w:r>
      <w:r w:rsidR="007522A3">
        <w:rPr>
          <w:rFonts w:ascii="Arial" w:hAnsi="Arial" w:cs="Arial"/>
          <w:sz w:val="24"/>
          <w:szCs w:val="24"/>
        </w:rPr>
        <w:t xml:space="preserve"> </w:t>
      </w:r>
      <w:r w:rsidR="00B842C9">
        <w:rPr>
          <w:rFonts w:ascii="Arial" w:hAnsi="Arial" w:cs="Arial"/>
          <w:sz w:val="24"/>
          <w:szCs w:val="24"/>
        </w:rPr>
        <w:t xml:space="preserve"> </w:t>
      </w:r>
      <w:r w:rsidR="007637E1">
        <w:rPr>
          <w:rFonts w:ascii="Arial" w:hAnsi="Arial" w:cs="Arial"/>
          <w:sz w:val="24"/>
          <w:szCs w:val="24"/>
        </w:rPr>
        <w:t xml:space="preserve">Dans ce deuxième système, les structures de propriété des entreprises étaient logées </w:t>
      </w:r>
      <w:r w:rsidR="00575983">
        <w:rPr>
          <w:rFonts w:ascii="Arial" w:hAnsi="Arial" w:cs="Arial"/>
          <w:sz w:val="24"/>
          <w:szCs w:val="24"/>
        </w:rPr>
        <w:t>dans un entrelacs de participation</w:t>
      </w:r>
      <w:r w:rsidR="0066758C">
        <w:rPr>
          <w:rFonts w:ascii="Arial" w:hAnsi="Arial" w:cs="Arial"/>
          <w:sz w:val="24"/>
          <w:szCs w:val="24"/>
        </w:rPr>
        <w:t>s</w:t>
      </w:r>
      <w:r w:rsidR="00D04396">
        <w:rPr>
          <w:rFonts w:ascii="Arial" w:hAnsi="Arial" w:cs="Arial"/>
          <w:sz w:val="24"/>
          <w:szCs w:val="24"/>
        </w:rPr>
        <w:t xml:space="preserve"> croisées</w:t>
      </w:r>
      <w:r w:rsidR="00575983">
        <w:rPr>
          <w:rFonts w:ascii="Arial" w:hAnsi="Arial" w:cs="Arial"/>
          <w:sz w:val="24"/>
          <w:szCs w:val="24"/>
        </w:rPr>
        <w:t>, avec comme clé</w:t>
      </w:r>
      <w:r w:rsidR="00744F5D">
        <w:rPr>
          <w:rFonts w:ascii="Arial" w:hAnsi="Arial" w:cs="Arial"/>
          <w:sz w:val="24"/>
          <w:szCs w:val="24"/>
        </w:rPr>
        <w:t>s</w:t>
      </w:r>
      <w:r w:rsidR="00575983">
        <w:rPr>
          <w:rFonts w:ascii="Arial" w:hAnsi="Arial" w:cs="Arial"/>
          <w:sz w:val="24"/>
          <w:szCs w:val="24"/>
        </w:rPr>
        <w:t xml:space="preserve"> de voûte, trois institutions bancaires et financières : la Société Générale, la BNP et AXA-UAP. </w:t>
      </w:r>
      <w:r w:rsidR="00D855E5">
        <w:rPr>
          <w:rFonts w:ascii="Arial" w:hAnsi="Arial" w:cs="Arial"/>
          <w:sz w:val="24"/>
          <w:szCs w:val="24"/>
        </w:rPr>
        <w:t>L’écla</w:t>
      </w:r>
      <w:r w:rsidR="007637E1">
        <w:rPr>
          <w:rFonts w:ascii="Arial" w:hAnsi="Arial" w:cs="Arial"/>
          <w:sz w:val="24"/>
          <w:szCs w:val="24"/>
        </w:rPr>
        <w:t xml:space="preserve">tement des noyaux durs </w:t>
      </w:r>
      <w:r w:rsidR="00BD782B">
        <w:rPr>
          <w:rFonts w:ascii="Arial" w:hAnsi="Arial" w:cs="Arial"/>
          <w:sz w:val="24"/>
          <w:szCs w:val="24"/>
        </w:rPr>
        <w:t xml:space="preserve">au début des années 2000 a été largement analysée et semble s’expliquer par </w:t>
      </w:r>
      <w:r w:rsidR="00CE5328">
        <w:rPr>
          <w:rFonts w:ascii="Arial" w:hAnsi="Arial" w:cs="Arial"/>
          <w:sz w:val="24"/>
          <w:szCs w:val="24"/>
        </w:rPr>
        <w:t xml:space="preserve">un désir des acteurs financiers </w:t>
      </w:r>
      <w:r w:rsidR="00AD5B5E">
        <w:rPr>
          <w:rFonts w:ascii="Arial" w:hAnsi="Arial" w:cs="Arial"/>
          <w:sz w:val="24"/>
          <w:szCs w:val="24"/>
        </w:rPr>
        <w:t>de mettre fin à leur instrumenta</w:t>
      </w:r>
      <w:r w:rsidR="007C3E8B">
        <w:rPr>
          <w:rFonts w:ascii="Arial" w:hAnsi="Arial" w:cs="Arial"/>
          <w:sz w:val="24"/>
          <w:szCs w:val="24"/>
        </w:rPr>
        <w:t xml:space="preserve">lisation </w:t>
      </w:r>
      <w:r w:rsidR="00CE5328">
        <w:rPr>
          <w:rFonts w:ascii="Arial" w:hAnsi="Arial" w:cs="Arial"/>
          <w:sz w:val="24"/>
          <w:szCs w:val="24"/>
        </w:rPr>
        <w:t xml:space="preserve">par les pouvoirs publics. </w:t>
      </w:r>
      <w:r w:rsidR="00D04396">
        <w:rPr>
          <w:rFonts w:ascii="Arial" w:hAnsi="Arial" w:cs="Arial"/>
          <w:sz w:val="24"/>
          <w:szCs w:val="24"/>
        </w:rPr>
        <w:t xml:space="preserve">De manière concomitante, les institutions bancaires </w:t>
      </w:r>
      <w:r w:rsidR="008A192F">
        <w:rPr>
          <w:rFonts w:ascii="Arial" w:hAnsi="Arial" w:cs="Arial"/>
          <w:sz w:val="24"/>
          <w:szCs w:val="24"/>
        </w:rPr>
        <w:t>désiraient se concentrer sur leur métier et posséder les moyens finan</w:t>
      </w:r>
      <w:r w:rsidR="00E40EE4">
        <w:rPr>
          <w:rFonts w:ascii="Arial" w:hAnsi="Arial" w:cs="Arial"/>
          <w:sz w:val="24"/>
          <w:szCs w:val="24"/>
        </w:rPr>
        <w:t xml:space="preserve">ciers pour participer à la course à la consolidation sectorielle. </w:t>
      </w:r>
      <w:r w:rsidR="005E4822">
        <w:rPr>
          <w:rFonts w:ascii="Arial" w:hAnsi="Arial" w:cs="Arial"/>
          <w:sz w:val="24"/>
          <w:szCs w:val="24"/>
        </w:rPr>
        <w:t xml:space="preserve">Dans cette optique, les </w:t>
      </w:r>
      <w:r w:rsidR="00F666AE">
        <w:rPr>
          <w:rFonts w:ascii="Arial" w:hAnsi="Arial" w:cs="Arial"/>
          <w:sz w:val="24"/>
          <w:szCs w:val="24"/>
        </w:rPr>
        <w:t xml:space="preserve">différentes tribulations sur le capital de Paribas n’auraient été qu’un alibi </w:t>
      </w:r>
      <w:r w:rsidR="00336243">
        <w:rPr>
          <w:rFonts w:ascii="Arial" w:hAnsi="Arial" w:cs="Arial"/>
          <w:sz w:val="24"/>
          <w:szCs w:val="24"/>
        </w:rPr>
        <w:t xml:space="preserve">pour procéder à des retraits massifs des structures de capital d’entreprises non liées au secteur financier. </w:t>
      </w:r>
      <w:r w:rsidR="002E1C86">
        <w:rPr>
          <w:rFonts w:ascii="Arial" w:hAnsi="Arial" w:cs="Arial"/>
          <w:sz w:val="24"/>
          <w:szCs w:val="24"/>
        </w:rPr>
        <w:t xml:space="preserve">Les trous d’air capitalistiques </w:t>
      </w:r>
      <w:r w:rsidR="00336243">
        <w:rPr>
          <w:rFonts w:ascii="Arial" w:hAnsi="Arial" w:cs="Arial"/>
          <w:sz w:val="24"/>
          <w:szCs w:val="24"/>
        </w:rPr>
        <w:t xml:space="preserve">engendrés </w:t>
      </w:r>
      <w:r w:rsidR="006039BE">
        <w:rPr>
          <w:rFonts w:ascii="Arial" w:hAnsi="Arial" w:cs="Arial"/>
          <w:sz w:val="24"/>
          <w:szCs w:val="24"/>
        </w:rPr>
        <w:t xml:space="preserve">ont été, en partie, comblés par des investisseurs nationaux et internationaux. Ces différents mouvements ont conduit à une représentation générale du marché français arcboutée </w:t>
      </w:r>
      <w:r w:rsidR="005435D4">
        <w:rPr>
          <w:rFonts w:ascii="Arial" w:hAnsi="Arial" w:cs="Arial"/>
          <w:sz w:val="24"/>
          <w:szCs w:val="24"/>
        </w:rPr>
        <w:t xml:space="preserve">à </w:t>
      </w:r>
      <w:r w:rsidR="008505E1">
        <w:rPr>
          <w:rFonts w:ascii="Arial" w:hAnsi="Arial" w:cs="Arial"/>
          <w:sz w:val="24"/>
          <w:szCs w:val="24"/>
        </w:rPr>
        <w:t>trois grandes fo</w:t>
      </w:r>
      <w:r w:rsidR="00396B06">
        <w:rPr>
          <w:rFonts w:ascii="Arial" w:hAnsi="Arial" w:cs="Arial"/>
          <w:sz w:val="24"/>
          <w:szCs w:val="24"/>
        </w:rPr>
        <w:t>r</w:t>
      </w:r>
      <w:r w:rsidR="008505E1">
        <w:rPr>
          <w:rFonts w:ascii="Arial" w:hAnsi="Arial" w:cs="Arial"/>
          <w:sz w:val="24"/>
          <w:szCs w:val="24"/>
        </w:rPr>
        <w:t>mes de capitalisme</w:t>
      </w:r>
      <w:r w:rsidR="00396B06">
        <w:rPr>
          <w:rFonts w:ascii="Arial" w:hAnsi="Arial" w:cs="Arial"/>
          <w:sz w:val="24"/>
          <w:szCs w:val="24"/>
        </w:rPr>
        <w:t xml:space="preserve"> </w:t>
      </w:r>
      <w:r w:rsidR="009B4137">
        <w:rPr>
          <w:rFonts w:ascii="Arial" w:hAnsi="Arial" w:cs="Arial"/>
          <w:sz w:val="24"/>
          <w:szCs w:val="24"/>
        </w:rPr>
        <w:t>(</w:t>
      </w:r>
      <w:r w:rsidR="00CA0ACA" w:rsidRPr="00CA0ACA">
        <w:rPr>
          <w:rFonts w:ascii="Arial" w:hAnsi="Arial" w:cs="Arial"/>
          <w:sz w:val="24"/>
          <w:szCs w:val="24"/>
        </w:rPr>
        <w:t xml:space="preserve">Morin F., </w:t>
      </w:r>
      <w:proofErr w:type="spellStart"/>
      <w:r w:rsidR="00CA0ACA" w:rsidRPr="00CA0ACA">
        <w:rPr>
          <w:rFonts w:ascii="Arial" w:hAnsi="Arial" w:cs="Arial"/>
          <w:sz w:val="24"/>
          <w:szCs w:val="24"/>
        </w:rPr>
        <w:t>Rigamonti</w:t>
      </w:r>
      <w:proofErr w:type="spellEnd"/>
      <w:r w:rsidR="00CA0ACA" w:rsidRPr="00CA0ACA">
        <w:rPr>
          <w:rFonts w:ascii="Arial" w:hAnsi="Arial" w:cs="Arial"/>
          <w:sz w:val="24"/>
          <w:szCs w:val="24"/>
        </w:rPr>
        <w:t xml:space="preserve"> E.</w:t>
      </w:r>
      <w:r w:rsidR="001B39E3">
        <w:rPr>
          <w:rFonts w:ascii="Arial" w:hAnsi="Arial" w:cs="Arial"/>
          <w:sz w:val="24"/>
          <w:szCs w:val="24"/>
        </w:rPr>
        <w:t xml:space="preserve">, </w:t>
      </w:r>
      <w:r w:rsidR="00CA0ACA" w:rsidRPr="00CA0ACA">
        <w:rPr>
          <w:rFonts w:ascii="Arial" w:hAnsi="Arial" w:cs="Arial"/>
          <w:sz w:val="24"/>
          <w:szCs w:val="24"/>
        </w:rPr>
        <w:t xml:space="preserve">2002), </w:t>
      </w:r>
      <w:r w:rsidR="00396B06">
        <w:rPr>
          <w:rFonts w:ascii="Arial" w:hAnsi="Arial" w:cs="Arial"/>
          <w:sz w:val="24"/>
          <w:szCs w:val="24"/>
        </w:rPr>
        <w:t>à niveaux de perméabilité très faibles</w:t>
      </w:r>
      <w:r w:rsidR="008505E1">
        <w:rPr>
          <w:rFonts w:ascii="Arial" w:hAnsi="Arial" w:cs="Arial"/>
          <w:sz w:val="24"/>
          <w:szCs w:val="24"/>
        </w:rPr>
        <w:t> : un capitalisme de marché financier (avec une forte dispersion du capital), un capitalisme patrimonial t</w:t>
      </w:r>
      <w:r w:rsidR="00672DC7">
        <w:rPr>
          <w:rFonts w:ascii="Arial" w:hAnsi="Arial" w:cs="Arial"/>
          <w:sz w:val="24"/>
          <w:szCs w:val="24"/>
        </w:rPr>
        <w:t>raditionnel (caractérisé par un attachement élevé des actionnaires à l’indépendance de l’entreprise</w:t>
      </w:r>
      <w:r w:rsidR="003852F0">
        <w:rPr>
          <w:rFonts w:ascii="Arial" w:hAnsi="Arial" w:cs="Arial"/>
          <w:sz w:val="24"/>
          <w:szCs w:val="24"/>
        </w:rPr>
        <w:t>, le cas des entreprises familiales</w:t>
      </w:r>
      <w:r w:rsidR="00D63A9C">
        <w:rPr>
          <w:rFonts w:ascii="Arial" w:hAnsi="Arial" w:cs="Arial"/>
          <w:sz w:val="24"/>
          <w:szCs w:val="24"/>
        </w:rPr>
        <w:t xml:space="preserve">, Boubaker S., </w:t>
      </w:r>
      <w:proofErr w:type="spellStart"/>
      <w:r w:rsidR="00D63A9C">
        <w:rPr>
          <w:rFonts w:ascii="Arial" w:hAnsi="Arial" w:cs="Arial"/>
          <w:sz w:val="24"/>
          <w:szCs w:val="24"/>
        </w:rPr>
        <w:t>Labegorre</w:t>
      </w:r>
      <w:proofErr w:type="spellEnd"/>
      <w:r w:rsidR="00D63A9C">
        <w:rPr>
          <w:rFonts w:ascii="Arial" w:hAnsi="Arial" w:cs="Arial"/>
          <w:sz w:val="24"/>
          <w:szCs w:val="24"/>
        </w:rPr>
        <w:t xml:space="preserve"> F., 2011</w:t>
      </w:r>
      <w:r w:rsidR="00672DC7">
        <w:rPr>
          <w:rFonts w:ascii="Arial" w:hAnsi="Arial" w:cs="Arial"/>
          <w:sz w:val="24"/>
          <w:szCs w:val="24"/>
        </w:rPr>
        <w:t>) et un capitalisme patrimonial moderniste</w:t>
      </w:r>
      <w:r w:rsidR="00396B06">
        <w:rPr>
          <w:rFonts w:ascii="Arial" w:hAnsi="Arial" w:cs="Arial"/>
          <w:sz w:val="24"/>
          <w:szCs w:val="24"/>
        </w:rPr>
        <w:t xml:space="preserve"> (avec la présence importante d’investisseurs institutionnels).  </w:t>
      </w:r>
      <w:r w:rsidR="001B39E3">
        <w:rPr>
          <w:rFonts w:ascii="Arial" w:hAnsi="Arial" w:cs="Arial"/>
          <w:sz w:val="24"/>
          <w:szCs w:val="24"/>
        </w:rPr>
        <w:t>Dans cette configuration, on retrouverait donc</w:t>
      </w:r>
      <w:r w:rsidR="00603DF4">
        <w:rPr>
          <w:rFonts w:ascii="Arial" w:hAnsi="Arial" w:cs="Arial"/>
          <w:sz w:val="24"/>
          <w:szCs w:val="24"/>
        </w:rPr>
        <w:t>, premièrement,</w:t>
      </w:r>
      <w:r w:rsidR="001B39E3">
        <w:rPr>
          <w:rFonts w:ascii="Arial" w:hAnsi="Arial" w:cs="Arial"/>
          <w:sz w:val="24"/>
          <w:szCs w:val="24"/>
        </w:rPr>
        <w:t xml:space="preserve"> des phénomènes importants d’hybridation</w:t>
      </w:r>
      <w:r w:rsidR="00DE5188">
        <w:rPr>
          <w:rFonts w:ascii="Arial" w:hAnsi="Arial" w:cs="Arial"/>
          <w:sz w:val="24"/>
          <w:szCs w:val="24"/>
        </w:rPr>
        <w:t xml:space="preserve">, </w:t>
      </w:r>
      <w:r w:rsidR="001B39E3">
        <w:rPr>
          <w:rFonts w:ascii="Arial" w:hAnsi="Arial" w:cs="Arial"/>
          <w:sz w:val="24"/>
          <w:szCs w:val="24"/>
        </w:rPr>
        <w:t>avec une coexistence</w:t>
      </w:r>
      <w:r w:rsidR="00F1331E">
        <w:rPr>
          <w:rFonts w:ascii="Arial" w:hAnsi="Arial" w:cs="Arial"/>
          <w:sz w:val="24"/>
          <w:szCs w:val="24"/>
        </w:rPr>
        <w:t xml:space="preserve">, </w:t>
      </w:r>
      <w:r w:rsidR="001B39E3">
        <w:rPr>
          <w:rFonts w:ascii="Arial" w:hAnsi="Arial" w:cs="Arial"/>
          <w:sz w:val="24"/>
          <w:szCs w:val="24"/>
        </w:rPr>
        <w:t xml:space="preserve">sur </w:t>
      </w:r>
      <w:r w:rsidR="00DE5188">
        <w:rPr>
          <w:rFonts w:ascii="Arial" w:hAnsi="Arial" w:cs="Arial"/>
          <w:sz w:val="24"/>
          <w:szCs w:val="24"/>
        </w:rPr>
        <w:t>un même</w:t>
      </w:r>
      <w:r w:rsidR="001B39E3">
        <w:rPr>
          <w:rFonts w:ascii="Arial" w:hAnsi="Arial" w:cs="Arial"/>
          <w:sz w:val="24"/>
          <w:szCs w:val="24"/>
        </w:rPr>
        <w:t xml:space="preserve"> marché</w:t>
      </w:r>
      <w:r w:rsidR="00F1331E">
        <w:rPr>
          <w:rFonts w:ascii="Arial" w:hAnsi="Arial" w:cs="Arial"/>
          <w:sz w:val="24"/>
          <w:szCs w:val="24"/>
        </w:rPr>
        <w:t>,</w:t>
      </w:r>
      <w:r w:rsidR="001B39E3">
        <w:rPr>
          <w:rFonts w:ascii="Arial" w:hAnsi="Arial" w:cs="Arial"/>
          <w:sz w:val="24"/>
          <w:szCs w:val="24"/>
        </w:rPr>
        <w:t xml:space="preserve"> </w:t>
      </w:r>
      <w:r w:rsidR="00DE5188">
        <w:rPr>
          <w:rFonts w:ascii="Arial" w:hAnsi="Arial" w:cs="Arial"/>
          <w:sz w:val="24"/>
          <w:szCs w:val="24"/>
        </w:rPr>
        <w:t>des différentes orientations capitalis</w:t>
      </w:r>
      <w:r w:rsidR="0043484F">
        <w:rPr>
          <w:rFonts w:ascii="Arial" w:hAnsi="Arial" w:cs="Arial"/>
          <w:sz w:val="24"/>
          <w:szCs w:val="24"/>
        </w:rPr>
        <w:t>tiques</w:t>
      </w:r>
      <w:r w:rsidR="00603DF4">
        <w:rPr>
          <w:rFonts w:ascii="Arial" w:hAnsi="Arial" w:cs="Arial"/>
          <w:sz w:val="24"/>
          <w:szCs w:val="24"/>
        </w:rPr>
        <w:t xml:space="preserve"> et, deuxièmement, des </w:t>
      </w:r>
      <w:r w:rsidR="003D4286">
        <w:rPr>
          <w:rFonts w:ascii="Arial" w:hAnsi="Arial" w:cs="Arial"/>
          <w:sz w:val="24"/>
          <w:szCs w:val="24"/>
        </w:rPr>
        <w:t>structures de propriété peu susceptibles d’évoluer dans le temps.</w:t>
      </w:r>
      <w:r w:rsidR="00603DF4">
        <w:rPr>
          <w:rFonts w:ascii="Arial" w:hAnsi="Arial" w:cs="Arial"/>
          <w:sz w:val="24"/>
          <w:szCs w:val="24"/>
        </w:rPr>
        <w:t xml:space="preserve"> </w:t>
      </w:r>
      <w:r w:rsidR="00577146">
        <w:rPr>
          <w:rFonts w:ascii="Arial" w:hAnsi="Arial" w:cs="Arial"/>
          <w:sz w:val="24"/>
          <w:szCs w:val="24"/>
        </w:rPr>
        <w:t xml:space="preserve">Tous ces </w:t>
      </w:r>
      <w:r w:rsidR="00577146">
        <w:rPr>
          <w:rFonts w:ascii="Arial" w:hAnsi="Arial" w:cs="Arial"/>
          <w:sz w:val="24"/>
          <w:szCs w:val="24"/>
        </w:rPr>
        <w:lastRenderedPageBreak/>
        <w:t>éléments donnent une vision très figée et cade</w:t>
      </w:r>
      <w:r w:rsidR="00DD7BBF">
        <w:rPr>
          <w:rFonts w:ascii="Arial" w:hAnsi="Arial" w:cs="Arial"/>
          <w:sz w:val="24"/>
          <w:szCs w:val="24"/>
        </w:rPr>
        <w:t xml:space="preserve">nassée du capitalisme à la française consolidé par un fonctionnement très </w:t>
      </w:r>
      <w:r w:rsidR="00DD7BBF" w:rsidRPr="002B0E69">
        <w:rPr>
          <w:rFonts w:ascii="Arial" w:hAnsi="Arial" w:cs="Arial"/>
          <w:i/>
          <w:iCs/>
          <w:sz w:val="24"/>
          <w:szCs w:val="24"/>
        </w:rPr>
        <w:t>gentlemen agreement</w:t>
      </w:r>
      <w:r w:rsidR="00B95CBA">
        <w:rPr>
          <w:rFonts w:ascii="Arial" w:hAnsi="Arial" w:cs="Arial"/>
          <w:sz w:val="24"/>
          <w:szCs w:val="24"/>
        </w:rPr>
        <w:t xml:space="preserve"> entre des personnes qui </w:t>
      </w:r>
      <w:r w:rsidR="002B0E69">
        <w:rPr>
          <w:rFonts w:ascii="Arial" w:hAnsi="Arial" w:cs="Arial"/>
          <w:sz w:val="24"/>
          <w:szCs w:val="24"/>
        </w:rPr>
        <w:t>avaie</w:t>
      </w:r>
      <w:r w:rsidR="00B95CBA">
        <w:rPr>
          <w:rFonts w:ascii="Arial" w:hAnsi="Arial" w:cs="Arial"/>
          <w:sz w:val="24"/>
          <w:szCs w:val="24"/>
        </w:rPr>
        <w:t>nt l’habitude de se côtoyer</w:t>
      </w:r>
      <w:r w:rsidR="002B18C6">
        <w:rPr>
          <w:rFonts w:ascii="Arial" w:hAnsi="Arial" w:cs="Arial"/>
          <w:sz w:val="24"/>
          <w:szCs w:val="24"/>
        </w:rPr>
        <w:t xml:space="preserve"> (Del Ve</w:t>
      </w:r>
      <w:r w:rsidR="00702873">
        <w:rPr>
          <w:rFonts w:ascii="Arial" w:hAnsi="Arial" w:cs="Arial"/>
          <w:sz w:val="24"/>
          <w:szCs w:val="24"/>
        </w:rPr>
        <w:t>c</w:t>
      </w:r>
      <w:r w:rsidR="002B18C6">
        <w:rPr>
          <w:rFonts w:ascii="Arial" w:hAnsi="Arial" w:cs="Arial"/>
          <w:sz w:val="24"/>
          <w:szCs w:val="24"/>
        </w:rPr>
        <w:t>c</w:t>
      </w:r>
      <w:r w:rsidR="00702873">
        <w:rPr>
          <w:rFonts w:ascii="Arial" w:hAnsi="Arial" w:cs="Arial"/>
          <w:sz w:val="24"/>
          <w:szCs w:val="24"/>
        </w:rPr>
        <w:t>h</w:t>
      </w:r>
      <w:r w:rsidR="002B18C6">
        <w:rPr>
          <w:rFonts w:ascii="Arial" w:hAnsi="Arial" w:cs="Arial"/>
          <w:sz w:val="24"/>
          <w:szCs w:val="24"/>
        </w:rPr>
        <w:t>io N., 2010</w:t>
      </w:r>
      <w:r w:rsidR="001D614C">
        <w:rPr>
          <w:rFonts w:ascii="Arial" w:hAnsi="Arial" w:cs="Arial"/>
          <w:sz w:val="24"/>
          <w:szCs w:val="24"/>
        </w:rPr>
        <w:t>)</w:t>
      </w:r>
      <w:r w:rsidR="00DF427D">
        <w:rPr>
          <w:rFonts w:ascii="Arial" w:hAnsi="Arial" w:cs="Arial"/>
          <w:sz w:val="24"/>
          <w:szCs w:val="24"/>
        </w:rPr>
        <w:t xml:space="preserve"> possédaient des profils sociologiquement proches (</w:t>
      </w:r>
      <w:r w:rsidR="00792125">
        <w:rPr>
          <w:rFonts w:ascii="Arial" w:hAnsi="Arial" w:cs="Arial"/>
          <w:sz w:val="24"/>
          <w:szCs w:val="24"/>
        </w:rPr>
        <w:t xml:space="preserve">Comet C., </w:t>
      </w:r>
      <w:proofErr w:type="spellStart"/>
      <w:r w:rsidR="00792125">
        <w:rPr>
          <w:rFonts w:ascii="Arial" w:hAnsi="Arial" w:cs="Arial"/>
          <w:sz w:val="24"/>
          <w:szCs w:val="24"/>
        </w:rPr>
        <w:t>Finez</w:t>
      </w:r>
      <w:proofErr w:type="spellEnd"/>
      <w:r w:rsidR="00792125">
        <w:rPr>
          <w:rFonts w:ascii="Arial" w:hAnsi="Arial" w:cs="Arial"/>
          <w:sz w:val="24"/>
          <w:szCs w:val="24"/>
        </w:rPr>
        <w:t xml:space="preserve"> J., 20</w:t>
      </w:r>
      <w:r w:rsidR="00E71B08">
        <w:rPr>
          <w:rFonts w:ascii="Arial" w:hAnsi="Arial" w:cs="Arial"/>
          <w:sz w:val="24"/>
          <w:szCs w:val="24"/>
        </w:rPr>
        <w:t>10</w:t>
      </w:r>
      <w:r w:rsidR="00792125">
        <w:rPr>
          <w:rFonts w:ascii="Arial" w:hAnsi="Arial" w:cs="Arial"/>
          <w:sz w:val="24"/>
          <w:szCs w:val="24"/>
        </w:rPr>
        <w:t>)</w:t>
      </w:r>
      <w:r w:rsidR="001D614C">
        <w:rPr>
          <w:rFonts w:ascii="Arial" w:hAnsi="Arial" w:cs="Arial"/>
          <w:sz w:val="24"/>
          <w:szCs w:val="24"/>
        </w:rPr>
        <w:t>, notamment au sein d</w:t>
      </w:r>
      <w:r w:rsidR="001D19F0">
        <w:rPr>
          <w:rFonts w:ascii="Arial" w:hAnsi="Arial" w:cs="Arial"/>
          <w:sz w:val="24"/>
          <w:szCs w:val="24"/>
        </w:rPr>
        <w:t xml:space="preserve">e l’orientation </w:t>
      </w:r>
      <w:r w:rsidR="001D614C">
        <w:rPr>
          <w:rFonts w:ascii="Arial" w:hAnsi="Arial" w:cs="Arial"/>
          <w:sz w:val="24"/>
          <w:szCs w:val="24"/>
        </w:rPr>
        <w:t>patrimonial</w:t>
      </w:r>
      <w:r w:rsidR="001D19F0">
        <w:rPr>
          <w:rFonts w:ascii="Arial" w:hAnsi="Arial" w:cs="Arial"/>
          <w:sz w:val="24"/>
          <w:szCs w:val="24"/>
        </w:rPr>
        <w:t>e</w:t>
      </w:r>
      <w:r w:rsidR="001D614C">
        <w:rPr>
          <w:rFonts w:ascii="Arial" w:hAnsi="Arial" w:cs="Arial"/>
          <w:sz w:val="24"/>
          <w:szCs w:val="24"/>
        </w:rPr>
        <w:t xml:space="preserve"> tradit</w:t>
      </w:r>
      <w:r w:rsidR="001D19F0">
        <w:rPr>
          <w:rFonts w:ascii="Arial" w:hAnsi="Arial" w:cs="Arial"/>
          <w:sz w:val="24"/>
          <w:szCs w:val="24"/>
        </w:rPr>
        <w:t>i</w:t>
      </w:r>
      <w:r w:rsidR="001D614C">
        <w:rPr>
          <w:rFonts w:ascii="Arial" w:hAnsi="Arial" w:cs="Arial"/>
          <w:sz w:val="24"/>
          <w:szCs w:val="24"/>
        </w:rPr>
        <w:t>onnel</w:t>
      </w:r>
      <w:r w:rsidR="001D19F0">
        <w:rPr>
          <w:rFonts w:ascii="Arial" w:hAnsi="Arial" w:cs="Arial"/>
          <w:sz w:val="24"/>
          <w:szCs w:val="24"/>
        </w:rPr>
        <w:t>le du capitalisme</w:t>
      </w:r>
      <w:r w:rsidR="00B95CBA">
        <w:rPr>
          <w:rFonts w:ascii="Arial" w:hAnsi="Arial" w:cs="Arial"/>
          <w:sz w:val="24"/>
          <w:szCs w:val="24"/>
        </w:rPr>
        <w:t xml:space="preserve">. </w:t>
      </w:r>
    </w:p>
    <w:p w14:paraId="48D39A10" w14:textId="400CCCE2" w:rsidR="00166A55" w:rsidRDefault="00166A55" w:rsidP="00230765">
      <w:pPr>
        <w:pStyle w:val="Paragraphedeliste"/>
        <w:spacing w:line="240" w:lineRule="auto"/>
        <w:jc w:val="both"/>
        <w:rPr>
          <w:rFonts w:ascii="Arial" w:hAnsi="Arial" w:cs="Arial"/>
          <w:sz w:val="24"/>
          <w:szCs w:val="24"/>
        </w:rPr>
      </w:pPr>
      <w:r w:rsidRPr="00166A55">
        <w:rPr>
          <w:rFonts w:ascii="Arial" w:hAnsi="Arial" w:cs="Arial"/>
          <w:sz w:val="24"/>
          <w:szCs w:val="24"/>
        </w:rPr>
        <w:t>En tout état de cause, l’analyse du marché français démontre à l’heure actuelle une très grande hétérogénéité des structures de propriété couplée à une complexité endémique de lecture des nœuds de pouvoirs (</w:t>
      </w:r>
      <w:proofErr w:type="spellStart"/>
      <w:r w:rsidRPr="00166A55">
        <w:rPr>
          <w:rFonts w:ascii="Arial" w:hAnsi="Arial" w:cs="Arial"/>
          <w:sz w:val="24"/>
          <w:szCs w:val="24"/>
        </w:rPr>
        <w:t>Ducassy</w:t>
      </w:r>
      <w:proofErr w:type="spellEnd"/>
      <w:r w:rsidRPr="00166A55">
        <w:rPr>
          <w:rFonts w:ascii="Arial" w:hAnsi="Arial" w:cs="Arial"/>
          <w:sz w:val="24"/>
          <w:szCs w:val="24"/>
        </w:rPr>
        <w:t xml:space="preserve"> L., Guyot A., 2017).</w:t>
      </w:r>
    </w:p>
    <w:p w14:paraId="680F2E49" w14:textId="77777777" w:rsidR="00C02EB4" w:rsidRDefault="00C02EB4" w:rsidP="00230765">
      <w:pPr>
        <w:pStyle w:val="Paragraphedeliste"/>
        <w:spacing w:line="240" w:lineRule="auto"/>
        <w:jc w:val="both"/>
        <w:rPr>
          <w:rFonts w:ascii="Arial" w:hAnsi="Arial" w:cs="Arial"/>
          <w:sz w:val="24"/>
          <w:szCs w:val="24"/>
        </w:rPr>
      </w:pPr>
    </w:p>
    <w:p w14:paraId="0C25661B" w14:textId="7915BE8A" w:rsidR="004663D2" w:rsidRDefault="00166A55" w:rsidP="00166A55">
      <w:pPr>
        <w:pStyle w:val="Paragraphedeliste"/>
        <w:spacing w:line="240" w:lineRule="auto"/>
        <w:jc w:val="both"/>
        <w:rPr>
          <w:rFonts w:ascii="Arial" w:hAnsi="Arial" w:cs="Arial"/>
          <w:sz w:val="24"/>
          <w:szCs w:val="24"/>
        </w:rPr>
      </w:pPr>
      <w:r>
        <w:rPr>
          <w:rFonts w:ascii="Arial" w:hAnsi="Arial" w:cs="Arial"/>
          <w:sz w:val="24"/>
          <w:szCs w:val="24"/>
        </w:rPr>
        <w:t>L</w:t>
      </w:r>
      <w:r w:rsidR="000D5088">
        <w:rPr>
          <w:rFonts w:ascii="Arial" w:hAnsi="Arial" w:cs="Arial"/>
          <w:sz w:val="24"/>
          <w:szCs w:val="24"/>
        </w:rPr>
        <w:t>a réalité des faits démontre</w:t>
      </w:r>
      <w:r w:rsidR="00D620FB">
        <w:rPr>
          <w:rFonts w:ascii="Arial" w:hAnsi="Arial" w:cs="Arial"/>
          <w:sz w:val="24"/>
          <w:szCs w:val="24"/>
        </w:rPr>
        <w:t xml:space="preserve"> des degrés de porosité plus importants</w:t>
      </w:r>
      <w:r w:rsidR="001E25C2">
        <w:rPr>
          <w:rFonts w:ascii="Arial" w:hAnsi="Arial" w:cs="Arial"/>
          <w:sz w:val="24"/>
          <w:szCs w:val="24"/>
        </w:rPr>
        <w:t xml:space="preserve"> entre les différentes sphères</w:t>
      </w:r>
      <w:r w:rsidR="00FD6FF0">
        <w:rPr>
          <w:rFonts w:ascii="Arial" w:hAnsi="Arial" w:cs="Arial"/>
          <w:sz w:val="24"/>
          <w:szCs w:val="24"/>
        </w:rPr>
        <w:t xml:space="preserve">. </w:t>
      </w:r>
      <w:r w:rsidR="00D15DEB">
        <w:rPr>
          <w:rFonts w:ascii="Arial" w:hAnsi="Arial" w:cs="Arial"/>
          <w:sz w:val="24"/>
          <w:szCs w:val="24"/>
        </w:rPr>
        <w:t>Si l</w:t>
      </w:r>
      <w:r w:rsidR="00FD6FF0">
        <w:rPr>
          <w:rFonts w:ascii="Arial" w:hAnsi="Arial" w:cs="Arial"/>
          <w:sz w:val="24"/>
          <w:szCs w:val="24"/>
        </w:rPr>
        <w:t xml:space="preserve">e positionnement des investisseurs institutionnels réputés </w:t>
      </w:r>
      <w:r w:rsidR="00D15DEB">
        <w:rPr>
          <w:rFonts w:ascii="Arial" w:hAnsi="Arial" w:cs="Arial"/>
          <w:sz w:val="24"/>
          <w:szCs w:val="24"/>
        </w:rPr>
        <w:t>co</w:t>
      </w:r>
      <w:r w:rsidR="00FD6FF0">
        <w:rPr>
          <w:rFonts w:ascii="Arial" w:hAnsi="Arial" w:cs="Arial"/>
          <w:sz w:val="24"/>
          <w:szCs w:val="24"/>
        </w:rPr>
        <w:t xml:space="preserve">mme actifs </w:t>
      </w:r>
      <w:r w:rsidR="00942FA2">
        <w:rPr>
          <w:rFonts w:ascii="Arial" w:hAnsi="Arial" w:cs="Arial"/>
          <w:sz w:val="24"/>
          <w:szCs w:val="24"/>
        </w:rPr>
        <w:t xml:space="preserve">s’opère </w:t>
      </w:r>
      <w:r w:rsidR="00FC2C5D">
        <w:rPr>
          <w:rFonts w:ascii="Arial" w:hAnsi="Arial" w:cs="Arial"/>
          <w:sz w:val="24"/>
          <w:szCs w:val="24"/>
        </w:rPr>
        <w:t xml:space="preserve">naturellement </w:t>
      </w:r>
      <w:r w:rsidR="00942FA2">
        <w:rPr>
          <w:rFonts w:ascii="Arial" w:hAnsi="Arial" w:cs="Arial"/>
          <w:sz w:val="24"/>
          <w:szCs w:val="24"/>
        </w:rPr>
        <w:t xml:space="preserve">dans des structures de propriété ouvertes, </w:t>
      </w:r>
      <w:r w:rsidR="00722207">
        <w:rPr>
          <w:rFonts w:ascii="Arial" w:hAnsi="Arial" w:cs="Arial"/>
          <w:sz w:val="24"/>
          <w:szCs w:val="24"/>
        </w:rPr>
        <w:t>celui-ci</w:t>
      </w:r>
      <w:r w:rsidR="00942FA2">
        <w:rPr>
          <w:rFonts w:ascii="Arial" w:hAnsi="Arial" w:cs="Arial"/>
          <w:sz w:val="24"/>
          <w:szCs w:val="24"/>
        </w:rPr>
        <w:t xml:space="preserve"> a tendance à ruisseler </w:t>
      </w:r>
      <w:r w:rsidR="00FD6FF0">
        <w:rPr>
          <w:rFonts w:ascii="Arial" w:hAnsi="Arial" w:cs="Arial"/>
          <w:sz w:val="24"/>
          <w:szCs w:val="24"/>
        </w:rPr>
        <w:t xml:space="preserve">au sein de </w:t>
      </w:r>
      <w:r w:rsidR="00552162">
        <w:rPr>
          <w:rFonts w:ascii="Arial" w:hAnsi="Arial" w:cs="Arial"/>
          <w:sz w:val="24"/>
          <w:szCs w:val="24"/>
        </w:rPr>
        <w:t xml:space="preserve">structures </w:t>
      </w:r>
      <w:r w:rsidR="00722207">
        <w:rPr>
          <w:rFonts w:ascii="Arial" w:hAnsi="Arial" w:cs="Arial"/>
          <w:sz w:val="24"/>
          <w:szCs w:val="24"/>
        </w:rPr>
        <w:t xml:space="preserve">a priori </w:t>
      </w:r>
      <w:r w:rsidR="006B7844">
        <w:rPr>
          <w:rFonts w:ascii="Arial" w:hAnsi="Arial" w:cs="Arial"/>
          <w:sz w:val="24"/>
          <w:szCs w:val="24"/>
        </w:rPr>
        <w:t xml:space="preserve">peu réceptives à leur arrivée. Leur positionnement </w:t>
      </w:r>
      <w:r w:rsidR="001D614F">
        <w:rPr>
          <w:rFonts w:ascii="Arial" w:hAnsi="Arial" w:cs="Arial"/>
          <w:sz w:val="24"/>
          <w:szCs w:val="24"/>
        </w:rPr>
        <w:t xml:space="preserve">au sein </w:t>
      </w:r>
      <w:r w:rsidR="00552162">
        <w:rPr>
          <w:rFonts w:ascii="Arial" w:hAnsi="Arial" w:cs="Arial"/>
          <w:sz w:val="24"/>
          <w:szCs w:val="24"/>
        </w:rPr>
        <w:t xml:space="preserve">d’entreprises </w:t>
      </w:r>
      <w:r w:rsidR="001D614F">
        <w:rPr>
          <w:rFonts w:ascii="Arial" w:hAnsi="Arial" w:cs="Arial"/>
          <w:sz w:val="24"/>
          <w:szCs w:val="24"/>
        </w:rPr>
        <w:t xml:space="preserve">à contours </w:t>
      </w:r>
      <w:r w:rsidR="00552162">
        <w:rPr>
          <w:rFonts w:ascii="Arial" w:hAnsi="Arial" w:cs="Arial"/>
          <w:sz w:val="24"/>
          <w:szCs w:val="24"/>
        </w:rPr>
        <w:t>familia</w:t>
      </w:r>
      <w:r w:rsidR="001D614F">
        <w:rPr>
          <w:rFonts w:ascii="Arial" w:hAnsi="Arial" w:cs="Arial"/>
          <w:sz w:val="24"/>
          <w:szCs w:val="24"/>
        </w:rPr>
        <w:t>ux</w:t>
      </w:r>
      <w:r w:rsidR="00552162">
        <w:rPr>
          <w:rFonts w:ascii="Arial" w:hAnsi="Arial" w:cs="Arial"/>
          <w:sz w:val="24"/>
          <w:szCs w:val="24"/>
        </w:rPr>
        <w:t xml:space="preserve"> est symptomatique de cette évolution</w:t>
      </w:r>
      <w:r w:rsidR="007679F5">
        <w:rPr>
          <w:rFonts w:ascii="Arial" w:hAnsi="Arial" w:cs="Arial"/>
          <w:sz w:val="24"/>
          <w:szCs w:val="24"/>
        </w:rPr>
        <w:t xml:space="preserve"> : à titre illustratif, </w:t>
      </w:r>
      <w:r w:rsidR="001047C3">
        <w:rPr>
          <w:rFonts w:ascii="Arial" w:hAnsi="Arial" w:cs="Arial"/>
          <w:sz w:val="24"/>
          <w:szCs w:val="24"/>
        </w:rPr>
        <w:t>le</w:t>
      </w:r>
      <w:r w:rsidR="001D614C">
        <w:rPr>
          <w:rFonts w:ascii="Arial" w:hAnsi="Arial" w:cs="Arial"/>
          <w:sz w:val="24"/>
          <w:szCs w:val="24"/>
        </w:rPr>
        <w:t>s</w:t>
      </w:r>
      <w:r w:rsidR="001047C3">
        <w:rPr>
          <w:rFonts w:ascii="Arial" w:hAnsi="Arial" w:cs="Arial"/>
          <w:sz w:val="24"/>
          <w:szCs w:val="24"/>
        </w:rPr>
        <w:t xml:space="preserve"> cas d’</w:t>
      </w:r>
      <w:r w:rsidR="007679F5">
        <w:rPr>
          <w:rFonts w:ascii="Arial" w:hAnsi="Arial" w:cs="Arial"/>
          <w:sz w:val="24"/>
          <w:szCs w:val="24"/>
        </w:rPr>
        <w:t>Elliott</w:t>
      </w:r>
      <w:r w:rsidR="00D620FB">
        <w:rPr>
          <w:rFonts w:ascii="Arial" w:hAnsi="Arial" w:cs="Arial"/>
          <w:sz w:val="24"/>
          <w:szCs w:val="24"/>
        </w:rPr>
        <w:t xml:space="preserve"> </w:t>
      </w:r>
      <w:r w:rsidR="007679F5">
        <w:rPr>
          <w:rFonts w:ascii="Arial" w:hAnsi="Arial" w:cs="Arial"/>
          <w:sz w:val="24"/>
          <w:szCs w:val="24"/>
        </w:rPr>
        <w:t>dans le capital de Per</w:t>
      </w:r>
      <w:r w:rsidR="00D42244">
        <w:rPr>
          <w:rFonts w:ascii="Arial" w:hAnsi="Arial" w:cs="Arial"/>
          <w:sz w:val="24"/>
          <w:szCs w:val="24"/>
        </w:rPr>
        <w:t>nod Ricard</w:t>
      </w:r>
      <w:r w:rsidR="001D614C">
        <w:rPr>
          <w:rFonts w:ascii="Arial" w:hAnsi="Arial" w:cs="Arial"/>
          <w:sz w:val="24"/>
          <w:szCs w:val="24"/>
        </w:rPr>
        <w:t xml:space="preserve"> </w:t>
      </w:r>
      <w:r w:rsidR="001047C3">
        <w:rPr>
          <w:rFonts w:ascii="Arial" w:hAnsi="Arial" w:cs="Arial"/>
          <w:sz w:val="24"/>
          <w:szCs w:val="24"/>
        </w:rPr>
        <w:t>et d’</w:t>
      </w:r>
      <w:r w:rsidR="00D42244">
        <w:rPr>
          <w:rFonts w:ascii="Arial" w:hAnsi="Arial" w:cs="Arial"/>
          <w:sz w:val="24"/>
          <w:szCs w:val="24"/>
        </w:rPr>
        <w:t xml:space="preserve">Amber </w:t>
      </w:r>
      <w:r w:rsidR="001047C3">
        <w:rPr>
          <w:rFonts w:ascii="Arial" w:hAnsi="Arial" w:cs="Arial"/>
          <w:sz w:val="24"/>
          <w:szCs w:val="24"/>
        </w:rPr>
        <w:t xml:space="preserve">au sein </w:t>
      </w:r>
      <w:r w:rsidR="00D42244">
        <w:rPr>
          <w:rFonts w:ascii="Arial" w:hAnsi="Arial" w:cs="Arial"/>
          <w:sz w:val="24"/>
          <w:szCs w:val="24"/>
        </w:rPr>
        <w:t>de Lagardère</w:t>
      </w:r>
      <w:r w:rsidR="00283890">
        <w:rPr>
          <w:rFonts w:ascii="Arial" w:hAnsi="Arial" w:cs="Arial"/>
          <w:sz w:val="24"/>
          <w:szCs w:val="24"/>
        </w:rPr>
        <w:t xml:space="preserve">. Les réticences des actionnaires historiques </w:t>
      </w:r>
      <w:r w:rsidR="006F1507">
        <w:rPr>
          <w:rFonts w:ascii="Arial" w:hAnsi="Arial" w:cs="Arial"/>
          <w:sz w:val="24"/>
          <w:szCs w:val="24"/>
        </w:rPr>
        <w:t xml:space="preserve">s’appuient sur une </w:t>
      </w:r>
      <w:r w:rsidR="00484948">
        <w:rPr>
          <w:rFonts w:ascii="Arial" w:hAnsi="Arial" w:cs="Arial"/>
          <w:sz w:val="24"/>
          <w:szCs w:val="24"/>
        </w:rPr>
        <w:t>volon</w:t>
      </w:r>
      <w:r w:rsidR="006F1507">
        <w:rPr>
          <w:rFonts w:ascii="Arial" w:hAnsi="Arial" w:cs="Arial"/>
          <w:sz w:val="24"/>
          <w:szCs w:val="24"/>
        </w:rPr>
        <w:t xml:space="preserve">té génétique de ce type d’investisseurs </w:t>
      </w:r>
      <w:r w:rsidR="00834AD4">
        <w:rPr>
          <w:rFonts w:ascii="Arial" w:hAnsi="Arial" w:cs="Arial"/>
          <w:sz w:val="24"/>
          <w:szCs w:val="24"/>
        </w:rPr>
        <w:t>de</w:t>
      </w:r>
      <w:r w:rsidR="006F1507">
        <w:rPr>
          <w:rFonts w:ascii="Arial" w:hAnsi="Arial" w:cs="Arial"/>
          <w:sz w:val="24"/>
          <w:szCs w:val="24"/>
        </w:rPr>
        <w:t xml:space="preserve"> </w:t>
      </w:r>
      <w:r w:rsidR="00270F16">
        <w:rPr>
          <w:rFonts w:ascii="Arial" w:hAnsi="Arial" w:cs="Arial"/>
          <w:sz w:val="24"/>
          <w:szCs w:val="24"/>
        </w:rPr>
        <w:t>mettre à mal le construit stratégique et de gouvernance des entreprises.</w:t>
      </w:r>
      <w:r w:rsidR="0094124E">
        <w:rPr>
          <w:rFonts w:ascii="Arial" w:hAnsi="Arial" w:cs="Arial"/>
          <w:sz w:val="24"/>
          <w:szCs w:val="24"/>
        </w:rPr>
        <w:t xml:space="preserve"> Dans une certaine mesure, potentiellement, pourrait s’opérer une remise en question d’un business model construit et développé de longue date par </w:t>
      </w:r>
      <w:r w:rsidR="00B0596C">
        <w:rPr>
          <w:rFonts w:ascii="Arial" w:hAnsi="Arial" w:cs="Arial"/>
          <w:sz w:val="24"/>
          <w:szCs w:val="24"/>
        </w:rPr>
        <w:t xml:space="preserve">des personnes provenant d’un même sérail familial. La question n’est pas tant de savoir </w:t>
      </w:r>
      <w:r w:rsidR="009F0BD1">
        <w:rPr>
          <w:rFonts w:ascii="Arial" w:hAnsi="Arial" w:cs="Arial"/>
          <w:sz w:val="24"/>
          <w:szCs w:val="24"/>
        </w:rPr>
        <w:t xml:space="preserve">dans quelle mesure les revirements stratégiques feraient sens mais </w:t>
      </w:r>
      <w:r w:rsidR="009D5579">
        <w:rPr>
          <w:rFonts w:ascii="Arial" w:hAnsi="Arial" w:cs="Arial"/>
          <w:sz w:val="24"/>
          <w:szCs w:val="24"/>
        </w:rPr>
        <w:t xml:space="preserve">dans quelle mesure une partie </w:t>
      </w:r>
      <w:r w:rsidR="006D28EC">
        <w:rPr>
          <w:rFonts w:ascii="Arial" w:hAnsi="Arial" w:cs="Arial"/>
          <w:sz w:val="24"/>
          <w:szCs w:val="24"/>
        </w:rPr>
        <w:t xml:space="preserve">plus ou moins importante </w:t>
      </w:r>
      <w:r w:rsidR="009D5579">
        <w:rPr>
          <w:rFonts w:ascii="Arial" w:hAnsi="Arial" w:cs="Arial"/>
          <w:sz w:val="24"/>
          <w:szCs w:val="24"/>
        </w:rPr>
        <w:t xml:space="preserve">du pouvoir </w:t>
      </w:r>
      <w:r w:rsidR="002578BA">
        <w:rPr>
          <w:rFonts w:ascii="Arial" w:hAnsi="Arial" w:cs="Arial"/>
          <w:sz w:val="24"/>
          <w:szCs w:val="24"/>
        </w:rPr>
        <w:t>au</w:t>
      </w:r>
      <w:r w:rsidR="006D28EC">
        <w:rPr>
          <w:rFonts w:ascii="Arial" w:hAnsi="Arial" w:cs="Arial"/>
          <w:sz w:val="24"/>
          <w:szCs w:val="24"/>
        </w:rPr>
        <w:t>x mains</w:t>
      </w:r>
      <w:r w:rsidR="002578BA">
        <w:rPr>
          <w:rFonts w:ascii="Arial" w:hAnsi="Arial" w:cs="Arial"/>
          <w:sz w:val="24"/>
          <w:szCs w:val="24"/>
        </w:rPr>
        <w:t xml:space="preserve"> des familles </w:t>
      </w:r>
      <w:r w:rsidR="006D28EC">
        <w:rPr>
          <w:rFonts w:ascii="Arial" w:hAnsi="Arial" w:cs="Arial"/>
          <w:sz w:val="24"/>
          <w:szCs w:val="24"/>
        </w:rPr>
        <w:t xml:space="preserve">fondatrices </w:t>
      </w:r>
      <w:r w:rsidR="009D5579">
        <w:rPr>
          <w:rFonts w:ascii="Arial" w:hAnsi="Arial" w:cs="Arial"/>
          <w:sz w:val="24"/>
          <w:szCs w:val="24"/>
        </w:rPr>
        <w:t>pourrait transiter vers</w:t>
      </w:r>
      <w:r w:rsidR="00A94456">
        <w:rPr>
          <w:rFonts w:ascii="Arial" w:hAnsi="Arial" w:cs="Arial"/>
          <w:sz w:val="24"/>
          <w:szCs w:val="24"/>
        </w:rPr>
        <w:t xml:space="preserve"> d</w:t>
      </w:r>
      <w:r w:rsidR="000439FA">
        <w:rPr>
          <w:rFonts w:ascii="Arial" w:hAnsi="Arial" w:cs="Arial"/>
          <w:sz w:val="24"/>
          <w:szCs w:val="24"/>
        </w:rPr>
        <w:t>’autres</w:t>
      </w:r>
      <w:r w:rsidR="00A94456">
        <w:rPr>
          <w:rFonts w:ascii="Arial" w:hAnsi="Arial" w:cs="Arial"/>
          <w:sz w:val="24"/>
          <w:szCs w:val="24"/>
        </w:rPr>
        <w:t xml:space="preserve"> pôles </w:t>
      </w:r>
      <w:r w:rsidR="009F32FA">
        <w:rPr>
          <w:rFonts w:ascii="Arial" w:hAnsi="Arial" w:cs="Arial"/>
          <w:sz w:val="24"/>
          <w:szCs w:val="24"/>
        </w:rPr>
        <w:t>décisionnels exogènes</w:t>
      </w:r>
      <w:r w:rsidR="000439FA">
        <w:rPr>
          <w:rFonts w:ascii="Arial" w:hAnsi="Arial" w:cs="Arial"/>
          <w:sz w:val="24"/>
          <w:szCs w:val="24"/>
        </w:rPr>
        <w:t xml:space="preserve">. </w:t>
      </w:r>
    </w:p>
    <w:p w14:paraId="523BAB7E" w14:textId="77777777" w:rsidR="00166A55" w:rsidRPr="00166A55" w:rsidRDefault="00166A55" w:rsidP="00166A55">
      <w:pPr>
        <w:pStyle w:val="Paragraphedeliste"/>
        <w:spacing w:line="240" w:lineRule="auto"/>
        <w:jc w:val="both"/>
        <w:rPr>
          <w:rFonts w:ascii="Arial" w:hAnsi="Arial" w:cs="Arial"/>
          <w:sz w:val="24"/>
          <w:szCs w:val="24"/>
        </w:rPr>
      </w:pPr>
    </w:p>
    <w:p w14:paraId="0351C222" w14:textId="664BBF37" w:rsidR="00AB09C2" w:rsidRDefault="00AB09C2" w:rsidP="005C2A31">
      <w:pPr>
        <w:pStyle w:val="Paragraphedeliste"/>
        <w:numPr>
          <w:ilvl w:val="0"/>
          <w:numId w:val="1"/>
        </w:numPr>
        <w:spacing w:line="240" w:lineRule="auto"/>
        <w:jc w:val="both"/>
        <w:rPr>
          <w:rFonts w:ascii="Arial" w:hAnsi="Arial" w:cs="Arial"/>
          <w:sz w:val="28"/>
          <w:szCs w:val="28"/>
          <w:u w:val="single"/>
        </w:rPr>
      </w:pPr>
      <w:r>
        <w:rPr>
          <w:rFonts w:ascii="Arial" w:hAnsi="Arial" w:cs="Arial"/>
          <w:sz w:val="28"/>
          <w:szCs w:val="28"/>
          <w:u w:val="single"/>
        </w:rPr>
        <w:t>Perspective méthodologique retenue</w:t>
      </w:r>
    </w:p>
    <w:p w14:paraId="02F39FB0" w14:textId="5741DC55" w:rsidR="00AB09C2" w:rsidRDefault="00AB09C2" w:rsidP="00AB09C2">
      <w:pPr>
        <w:pStyle w:val="Paragraphedeliste"/>
        <w:spacing w:line="240" w:lineRule="auto"/>
        <w:jc w:val="both"/>
        <w:rPr>
          <w:rFonts w:ascii="Arial" w:hAnsi="Arial" w:cs="Arial"/>
          <w:sz w:val="28"/>
          <w:szCs w:val="28"/>
          <w:u w:val="single"/>
        </w:rPr>
      </w:pPr>
    </w:p>
    <w:p w14:paraId="14AE87F8" w14:textId="3BEC2CCF" w:rsidR="00AB09C2" w:rsidRPr="00791655" w:rsidRDefault="00791655" w:rsidP="00AB09C2">
      <w:pPr>
        <w:pStyle w:val="Paragraphedeliste"/>
        <w:spacing w:line="240" w:lineRule="auto"/>
        <w:jc w:val="both"/>
        <w:rPr>
          <w:rFonts w:ascii="Arial" w:hAnsi="Arial" w:cs="Arial"/>
          <w:sz w:val="24"/>
          <w:szCs w:val="24"/>
        </w:rPr>
      </w:pPr>
      <w:r>
        <w:rPr>
          <w:rFonts w:ascii="Arial" w:hAnsi="Arial" w:cs="Arial"/>
          <w:sz w:val="24"/>
          <w:szCs w:val="24"/>
        </w:rPr>
        <w:t>Le fil conducte</w:t>
      </w:r>
      <w:r w:rsidR="00653EC6">
        <w:rPr>
          <w:rFonts w:ascii="Arial" w:hAnsi="Arial" w:cs="Arial"/>
          <w:sz w:val="24"/>
          <w:szCs w:val="24"/>
        </w:rPr>
        <w:t>ur méthodologique que nous avons mobilisé est basé sur l</w:t>
      </w:r>
      <w:r w:rsidR="00446E81">
        <w:rPr>
          <w:rFonts w:ascii="Arial" w:hAnsi="Arial" w:cs="Arial"/>
          <w:sz w:val="24"/>
          <w:szCs w:val="24"/>
        </w:rPr>
        <w:t>a comp</w:t>
      </w:r>
      <w:r w:rsidR="00AC7EBA">
        <w:rPr>
          <w:rFonts w:ascii="Arial" w:hAnsi="Arial" w:cs="Arial"/>
          <w:sz w:val="24"/>
          <w:szCs w:val="24"/>
        </w:rPr>
        <w:t>ilation</w:t>
      </w:r>
      <w:r w:rsidR="00653EC6">
        <w:rPr>
          <w:rFonts w:ascii="Arial" w:hAnsi="Arial" w:cs="Arial"/>
          <w:sz w:val="24"/>
          <w:szCs w:val="24"/>
        </w:rPr>
        <w:t xml:space="preserve"> d’</w:t>
      </w:r>
      <w:r w:rsidR="00DD0418">
        <w:rPr>
          <w:rFonts w:ascii="Arial" w:hAnsi="Arial" w:cs="Arial"/>
          <w:sz w:val="24"/>
          <w:szCs w:val="24"/>
        </w:rPr>
        <w:t>un large faisceau d’informations publique</w:t>
      </w:r>
      <w:r w:rsidR="0019726D">
        <w:rPr>
          <w:rFonts w:ascii="Arial" w:hAnsi="Arial" w:cs="Arial"/>
          <w:sz w:val="24"/>
          <w:szCs w:val="24"/>
        </w:rPr>
        <w:t>ment disponibles</w:t>
      </w:r>
      <w:r w:rsidR="006B1B0B">
        <w:rPr>
          <w:rFonts w:ascii="Arial" w:hAnsi="Arial" w:cs="Arial"/>
          <w:sz w:val="24"/>
          <w:szCs w:val="24"/>
        </w:rPr>
        <w:t xml:space="preserve"> </w:t>
      </w:r>
      <w:r w:rsidR="0019726D">
        <w:rPr>
          <w:rFonts w:ascii="Arial" w:hAnsi="Arial" w:cs="Arial"/>
          <w:sz w:val="24"/>
          <w:szCs w:val="24"/>
        </w:rPr>
        <w:t>re</w:t>
      </w:r>
      <w:r w:rsidR="006B1B0B">
        <w:rPr>
          <w:rFonts w:ascii="Arial" w:hAnsi="Arial" w:cs="Arial"/>
          <w:sz w:val="24"/>
          <w:szCs w:val="24"/>
        </w:rPr>
        <w:t xml:space="preserve">liées aux deux cas pratiques retenus qui ont pour </w:t>
      </w:r>
      <w:r w:rsidR="00F03C45">
        <w:rPr>
          <w:rFonts w:ascii="Arial" w:hAnsi="Arial" w:cs="Arial"/>
          <w:sz w:val="24"/>
          <w:szCs w:val="24"/>
        </w:rPr>
        <w:t>finalité</w:t>
      </w:r>
      <w:r w:rsidR="006B1B0B">
        <w:rPr>
          <w:rFonts w:ascii="Arial" w:hAnsi="Arial" w:cs="Arial"/>
          <w:sz w:val="24"/>
          <w:szCs w:val="24"/>
        </w:rPr>
        <w:t xml:space="preserve"> de répondre à la question de recherche initialement posée.</w:t>
      </w:r>
      <w:r w:rsidR="00DD0418">
        <w:rPr>
          <w:rFonts w:ascii="Arial" w:hAnsi="Arial" w:cs="Arial"/>
          <w:sz w:val="24"/>
          <w:szCs w:val="24"/>
        </w:rPr>
        <w:t xml:space="preserve"> </w:t>
      </w:r>
      <w:r w:rsidR="009353F3">
        <w:rPr>
          <w:rFonts w:ascii="Arial" w:hAnsi="Arial" w:cs="Arial"/>
          <w:sz w:val="24"/>
          <w:szCs w:val="24"/>
        </w:rPr>
        <w:t>L’approche que nous ut</w:t>
      </w:r>
      <w:r w:rsidR="008546E4">
        <w:rPr>
          <w:rFonts w:ascii="Arial" w:hAnsi="Arial" w:cs="Arial"/>
          <w:sz w:val="24"/>
          <w:szCs w:val="24"/>
        </w:rPr>
        <w:t xml:space="preserve">ilisons est essentiellement descriptive et a pour vocation de décrire un phénomène </w:t>
      </w:r>
      <w:r w:rsidR="002A65E0">
        <w:rPr>
          <w:rFonts w:ascii="Arial" w:hAnsi="Arial" w:cs="Arial"/>
          <w:sz w:val="24"/>
          <w:szCs w:val="24"/>
        </w:rPr>
        <w:t>dans des contextes bien définis.</w:t>
      </w:r>
      <w:r w:rsidR="00692F2F">
        <w:rPr>
          <w:rFonts w:ascii="Arial" w:hAnsi="Arial" w:cs="Arial"/>
          <w:sz w:val="24"/>
          <w:szCs w:val="24"/>
        </w:rPr>
        <w:t xml:space="preserve"> La recherche conduite se positionne sur </w:t>
      </w:r>
      <w:r w:rsidR="00D648E2">
        <w:rPr>
          <w:rFonts w:ascii="Arial" w:hAnsi="Arial" w:cs="Arial"/>
          <w:sz w:val="24"/>
          <w:szCs w:val="24"/>
        </w:rPr>
        <w:t xml:space="preserve">le volet instrumental de la typologie de </w:t>
      </w:r>
      <w:proofErr w:type="spellStart"/>
      <w:r w:rsidR="00D648E2">
        <w:rPr>
          <w:rFonts w:ascii="Arial" w:hAnsi="Arial" w:cs="Arial"/>
          <w:sz w:val="24"/>
          <w:szCs w:val="24"/>
        </w:rPr>
        <w:t>Stake</w:t>
      </w:r>
      <w:proofErr w:type="spellEnd"/>
      <w:r w:rsidR="00355DD2">
        <w:rPr>
          <w:rFonts w:ascii="Arial" w:hAnsi="Arial" w:cs="Arial"/>
          <w:sz w:val="24"/>
          <w:szCs w:val="24"/>
        </w:rPr>
        <w:t xml:space="preserve"> R.</w:t>
      </w:r>
      <w:r w:rsidR="00D648E2">
        <w:rPr>
          <w:rFonts w:ascii="Arial" w:hAnsi="Arial" w:cs="Arial"/>
          <w:sz w:val="24"/>
          <w:szCs w:val="24"/>
        </w:rPr>
        <w:t xml:space="preserve"> (1995)</w:t>
      </w:r>
      <w:r w:rsidR="00D60F66">
        <w:rPr>
          <w:rFonts w:ascii="Arial" w:hAnsi="Arial" w:cs="Arial"/>
          <w:sz w:val="24"/>
          <w:szCs w:val="24"/>
        </w:rPr>
        <w:t xml:space="preserve"> et contribue à revoir </w:t>
      </w:r>
      <w:r w:rsidR="000F5D54">
        <w:rPr>
          <w:rFonts w:ascii="Arial" w:hAnsi="Arial" w:cs="Arial"/>
          <w:sz w:val="24"/>
          <w:szCs w:val="24"/>
        </w:rPr>
        <w:t>des champs théoriques ancrés de longue date dans la littérature financière.</w:t>
      </w:r>
      <w:r w:rsidR="00D648E2">
        <w:rPr>
          <w:rFonts w:ascii="Arial" w:hAnsi="Arial" w:cs="Arial"/>
          <w:sz w:val="24"/>
          <w:szCs w:val="24"/>
        </w:rPr>
        <w:t xml:space="preserve"> </w:t>
      </w:r>
      <w:r w:rsidR="00396F83">
        <w:rPr>
          <w:rFonts w:ascii="Arial" w:hAnsi="Arial" w:cs="Arial"/>
          <w:sz w:val="24"/>
          <w:szCs w:val="24"/>
        </w:rPr>
        <w:t>Il ne s’agit donc pas</w:t>
      </w:r>
      <w:r w:rsidR="00ED199F">
        <w:rPr>
          <w:rFonts w:ascii="Arial" w:hAnsi="Arial" w:cs="Arial"/>
          <w:sz w:val="24"/>
          <w:szCs w:val="24"/>
        </w:rPr>
        <w:t>,</w:t>
      </w:r>
      <w:r w:rsidR="00396F83">
        <w:rPr>
          <w:rFonts w:ascii="Arial" w:hAnsi="Arial" w:cs="Arial"/>
          <w:sz w:val="24"/>
          <w:szCs w:val="24"/>
        </w:rPr>
        <w:t xml:space="preserve"> dans notre optique</w:t>
      </w:r>
      <w:r w:rsidR="00ED199F">
        <w:rPr>
          <w:rFonts w:ascii="Arial" w:hAnsi="Arial" w:cs="Arial"/>
          <w:sz w:val="24"/>
          <w:szCs w:val="24"/>
        </w:rPr>
        <w:t>,</w:t>
      </w:r>
      <w:r w:rsidR="00396F83">
        <w:rPr>
          <w:rFonts w:ascii="Arial" w:hAnsi="Arial" w:cs="Arial"/>
          <w:sz w:val="24"/>
          <w:szCs w:val="24"/>
        </w:rPr>
        <w:t xml:space="preserve"> </w:t>
      </w:r>
      <w:r w:rsidR="00E82410">
        <w:rPr>
          <w:rFonts w:ascii="Arial" w:hAnsi="Arial" w:cs="Arial"/>
          <w:sz w:val="24"/>
          <w:szCs w:val="24"/>
        </w:rPr>
        <w:t>de chercher des liens de causes à effets au travers d’outils quantitatifs mais de démontrer, au départ d’une collection d</w:t>
      </w:r>
      <w:r w:rsidR="00692B62">
        <w:rPr>
          <w:rFonts w:ascii="Arial" w:hAnsi="Arial" w:cs="Arial"/>
          <w:sz w:val="24"/>
          <w:szCs w:val="24"/>
        </w:rPr>
        <w:t>’éléments probants</w:t>
      </w:r>
      <w:r w:rsidR="000065D8">
        <w:rPr>
          <w:rFonts w:ascii="Arial" w:hAnsi="Arial" w:cs="Arial"/>
          <w:sz w:val="24"/>
          <w:szCs w:val="24"/>
        </w:rPr>
        <w:t xml:space="preserve"> et convergents</w:t>
      </w:r>
      <w:r w:rsidR="00692B62">
        <w:rPr>
          <w:rFonts w:ascii="Arial" w:hAnsi="Arial" w:cs="Arial"/>
          <w:sz w:val="24"/>
          <w:szCs w:val="24"/>
        </w:rPr>
        <w:t xml:space="preserve">, la nécessité de reconsidérer certains </w:t>
      </w:r>
      <w:r w:rsidR="00ED199F">
        <w:rPr>
          <w:rFonts w:ascii="Arial" w:hAnsi="Arial" w:cs="Arial"/>
          <w:sz w:val="24"/>
          <w:szCs w:val="24"/>
        </w:rPr>
        <w:t>paradigmes théoriques.</w:t>
      </w:r>
      <w:r w:rsidR="00DD0418">
        <w:rPr>
          <w:rFonts w:ascii="Arial" w:hAnsi="Arial" w:cs="Arial"/>
          <w:sz w:val="24"/>
          <w:szCs w:val="24"/>
        </w:rPr>
        <w:t xml:space="preserve"> </w:t>
      </w:r>
    </w:p>
    <w:p w14:paraId="72E214FA" w14:textId="77777777" w:rsidR="00AB09C2" w:rsidRDefault="00AB09C2" w:rsidP="00AB09C2">
      <w:pPr>
        <w:pStyle w:val="Paragraphedeliste"/>
        <w:spacing w:line="240" w:lineRule="auto"/>
        <w:jc w:val="both"/>
        <w:rPr>
          <w:rFonts w:ascii="Arial" w:hAnsi="Arial" w:cs="Arial"/>
          <w:sz w:val="28"/>
          <w:szCs w:val="28"/>
          <w:u w:val="single"/>
        </w:rPr>
      </w:pPr>
    </w:p>
    <w:p w14:paraId="7C5B5EC1" w14:textId="11DA6B44" w:rsidR="0011556E" w:rsidRDefault="0011556E" w:rsidP="005C2A31">
      <w:pPr>
        <w:pStyle w:val="Paragraphedeliste"/>
        <w:numPr>
          <w:ilvl w:val="0"/>
          <w:numId w:val="1"/>
        </w:numPr>
        <w:spacing w:line="240" w:lineRule="auto"/>
        <w:jc w:val="both"/>
        <w:rPr>
          <w:rFonts w:ascii="Arial" w:hAnsi="Arial" w:cs="Arial"/>
          <w:sz w:val="28"/>
          <w:szCs w:val="28"/>
          <w:u w:val="single"/>
        </w:rPr>
      </w:pPr>
      <w:r w:rsidRPr="007D32F4">
        <w:rPr>
          <w:rFonts w:ascii="Arial" w:hAnsi="Arial" w:cs="Arial"/>
          <w:sz w:val="28"/>
          <w:szCs w:val="28"/>
          <w:u w:val="single"/>
        </w:rPr>
        <w:t>Analyse de l’impulsion institutionnelle au sein des groupes ACCOR et Lagardère</w:t>
      </w:r>
    </w:p>
    <w:p w14:paraId="2F4445CA" w14:textId="24ED89DC" w:rsidR="00730589" w:rsidRDefault="00730589" w:rsidP="00730589">
      <w:pPr>
        <w:pStyle w:val="Paragraphedeliste"/>
        <w:spacing w:line="240" w:lineRule="auto"/>
        <w:jc w:val="both"/>
        <w:rPr>
          <w:rFonts w:ascii="Arial" w:hAnsi="Arial" w:cs="Arial"/>
          <w:sz w:val="28"/>
          <w:szCs w:val="28"/>
          <w:u w:val="single"/>
        </w:rPr>
      </w:pPr>
    </w:p>
    <w:p w14:paraId="3475586A" w14:textId="256C9A59" w:rsidR="007F54CA" w:rsidRPr="00257EE7" w:rsidRDefault="007F54CA" w:rsidP="007F54CA">
      <w:pPr>
        <w:pStyle w:val="Paragraphedeliste"/>
        <w:numPr>
          <w:ilvl w:val="1"/>
          <w:numId w:val="1"/>
        </w:numPr>
        <w:spacing w:line="240" w:lineRule="auto"/>
        <w:jc w:val="both"/>
        <w:rPr>
          <w:rFonts w:ascii="Arial" w:hAnsi="Arial" w:cs="Arial"/>
          <w:sz w:val="24"/>
          <w:szCs w:val="24"/>
          <w:u w:val="single"/>
        </w:rPr>
      </w:pPr>
      <w:r w:rsidRPr="00257EE7">
        <w:rPr>
          <w:rFonts w:ascii="Arial" w:hAnsi="Arial" w:cs="Arial"/>
          <w:sz w:val="24"/>
          <w:szCs w:val="24"/>
          <w:u w:val="single"/>
        </w:rPr>
        <w:t>Prélimi</w:t>
      </w:r>
      <w:r w:rsidR="00257EE7" w:rsidRPr="00257EE7">
        <w:rPr>
          <w:rFonts w:ascii="Arial" w:hAnsi="Arial" w:cs="Arial"/>
          <w:sz w:val="24"/>
          <w:szCs w:val="24"/>
          <w:u w:val="single"/>
        </w:rPr>
        <w:t>naires</w:t>
      </w:r>
    </w:p>
    <w:p w14:paraId="526A06E5" w14:textId="77777777" w:rsidR="00257EE7" w:rsidRDefault="00257EE7" w:rsidP="00257EE7">
      <w:pPr>
        <w:pStyle w:val="Paragraphedeliste"/>
        <w:spacing w:line="240" w:lineRule="auto"/>
        <w:ind w:left="1440"/>
        <w:jc w:val="both"/>
        <w:rPr>
          <w:rFonts w:ascii="Arial" w:hAnsi="Arial" w:cs="Arial"/>
          <w:sz w:val="24"/>
          <w:szCs w:val="24"/>
        </w:rPr>
      </w:pPr>
    </w:p>
    <w:p w14:paraId="1C1F7BB9" w14:textId="70D66B5D" w:rsidR="001B6CCE" w:rsidRDefault="00D8418F" w:rsidP="00730589">
      <w:pPr>
        <w:pStyle w:val="Paragraphedeliste"/>
        <w:spacing w:line="240" w:lineRule="auto"/>
        <w:jc w:val="both"/>
        <w:rPr>
          <w:rFonts w:ascii="Arial" w:hAnsi="Arial" w:cs="Arial"/>
          <w:sz w:val="24"/>
          <w:szCs w:val="24"/>
        </w:rPr>
      </w:pPr>
      <w:r w:rsidRPr="00C34E8C">
        <w:rPr>
          <w:rFonts w:ascii="Arial" w:hAnsi="Arial" w:cs="Arial"/>
          <w:sz w:val="24"/>
          <w:szCs w:val="24"/>
        </w:rPr>
        <w:t xml:space="preserve">Les deux entreprises </w:t>
      </w:r>
      <w:r w:rsidR="00C34E8C">
        <w:rPr>
          <w:rFonts w:ascii="Arial" w:hAnsi="Arial" w:cs="Arial"/>
          <w:sz w:val="24"/>
          <w:szCs w:val="24"/>
        </w:rPr>
        <w:t xml:space="preserve">françaises </w:t>
      </w:r>
      <w:r w:rsidRPr="00C34E8C">
        <w:rPr>
          <w:rFonts w:ascii="Arial" w:hAnsi="Arial" w:cs="Arial"/>
          <w:sz w:val="24"/>
          <w:szCs w:val="24"/>
        </w:rPr>
        <w:t xml:space="preserve">que nous considérons présentent des profils sectoriels sensiblement différents et des perspectives de développement très </w:t>
      </w:r>
      <w:r w:rsidRPr="00C34E8C">
        <w:rPr>
          <w:rFonts w:ascii="Arial" w:hAnsi="Arial" w:cs="Arial"/>
          <w:sz w:val="24"/>
          <w:szCs w:val="24"/>
        </w:rPr>
        <w:lastRenderedPageBreak/>
        <w:t>éloig</w:t>
      </w:r>
      <w:r w:rsidR="00C34E8C" w:rsidRPr="00C34E8C">
        <w:rPr>
          <w:rFonts w:ascii="Arial" w:hAnsi="Arial" w:cs="Arial"/>
          <w:sz w:val="24"/>
          <w:szCs w:val="24"/>
        </w:rPr>
        <w:t>nées</w:t>
      </w:r>
      <w:r w:rsidR="00BB2BD0">
        <w:rPr>
          <w:rFonts w:ascii="Arial" w:hAnsi="Arial" w:cs="Arial"/>
          <w:sz w:val="24"/>
          <w:szCs w:val="24"/>
        </w:rPr>
        <w:t> ; elles sont toutes les deux</w:t>
      </w:r>
      <w:r w:rsidR="00C24404">
        <w:rPr>
          <w:rFonts w:ascii="Arial" w:hAnsi="Arial" w:cs="Arial"/>
          <w:sz w:val="24"/>
          <w:szCs w:val="24"/>
        </w:rPr>
        <w:t xml:space="preserve"> très ancrées dans l’inconscient collectif capitalistique français. Dans les deux cas, une image forte induite</w:t>
      </w:r>
      <w:r w:rsidR="00054079">
        <w:rPr>
          <w:rFonts w:ascii="Arial" w:hAnsi="Arial" w:cs="Arial"/>
          <w:sz w:val="24"/>
          <w:szCs w:val="24"/>
        </w:rPr>
        <w:t xml:space="preserve"> par les fondateurs</w:t>
      </w:r>
      <w:r w:rsidR="007A0607">
        <w:rPr>
          <w:rFonts w:ascii="Arial" w:hAnsi="Arial" w:cs="Arial"/>
          <w:sz w:val="24"/>
          <w:szCs w:val="24"/>
        </w:rPr>
        <w:t xml:space="preserve"> des entreprises a gravé ces deux entreprises</w:t>
      </w:r>
      <w:r w:rsidR="00A10FE3">
        <w:rPr>
          <w:rFonts w:ascii="Arial" w:hAnsi="Arial" w:cs="Arial"/>
          <w:sz w:val="24"/>
          <w:szCs w:val="24"/>
        </w:rPr>
        <w:t xml:space="preserve"> dans le marbre de la réussite entrepreneuriale françaises. </w:t>
      </w:r>
      <w:r w:rsidR="007F54CA">
        <w:rPr>
          <w:rFonts w:ascii="Arial" w:hAnsi="Arial" w:cs="Arial"/>
          <w:sz w:val="24"/>
          <w:szCs w:val="24"/>
        </w:rPr>
        <w:t>Si la restruct</w:t>
      </w:r>
      <w:r w:rsidR="00970492">
        <w:rPr>
          <w:rFonts w:ascii="Arial" w:hAnsi="Arial" w:cs="Arial"/>
          <w:sz w:val="24"/>
          <w:szCs w:val="24"/>
        </w:rPr>
        <w:t xml:space="preserve">uration du groupe ACCOR </w:t>
      </w:r>
      <w:r w:rsidR="00E13C55">
        <w:rPr>
          <w:rFonts w:ascii="Arial" w:hAnsi="Arial" w:cs="Arial"/>
          <w:sz w:val="24"/>
          <w:szCs w:val="24"/>
        </w:rPr>
        <w:t xml:space="preserve">sous impulsion institutionnelle </w:t>
      </w:r>
      <w:r w:rsidR="00970492">
        <w:rPr>
          <w:rFonts w:ascii="Arial" w:hAnsi="Arial" w:cs="Arial"/>
          <w:sz w:val="24"/>
          <w:szCs w:val="24"/>
        </w:rPr>
        <w:t xml:space="preserve">s’est achevée en 2010, </w:t>
      </w:r>
      <w:r w:rsidR="001F1361">
        <w:rPr>
          <w:rFonts w:ascii="Arial" w:hAnsi="Arial" w:cs="Arial"/>
          <w:sz w:val="24"/>
          <w:szCs w:val="24"/>
        </w:rPr>
        <w:t>l’activisme au sein du groupe Lagardère en vue de l’éventuel démembrement du groupe est toujours en cours.</w:t>
      </w:r>
      <w:r w:rsidR="003C7A45">
        <w:rPr>
          <w:rFonts w:ascii="Arial" w:hAnsi="Arial" w:cs="Arial"/>
          <w:sz w:val="24"/>
          <w:szCs w:val="24"/>
        </w:rPr>
        <w:t xml:space="preserve"> </w:t>
      </w:r>
      <w:r w:rsidR="00B53C5C">
        <w:rPr>
          <w:rFonts w:ascii="Arial" w:hAnsi="Arial" w:cs="Arial"/>
          <w:sz w:val="24"/>
          <w:szCs w:val="24"/>
        </w:rPr>
        <w:t>Les deux entreprises possédaient au moment de l’évolution de leur structure de propriété</w:t>
      </w:r>
      <w:r w:rsidR="003B7D3E">
        <w:rPr>
          <w:rFonts w:ascii="Arial" w:hAnsi="Arial" w:cs="Arial"/>
          <w:sz w:val="24"/>
          <w:szCs w:val="24"/>
        </w:rPr>
        <w:t xml:space="preserve"> un portefeuille d’activités peu reliées</w:t>
      </w:r>
      <w:r w:rsidR="00C66B37">
        <w:rPr>
          <w:rFonts w:ascii="Arial" w:hAnsi="Arial" w:cs="Arial"/>
          <w:sz w:val="24"/>
          <w:szCs w:val="24"/>
        </w:rPr>
        <w:t xml:space="preserve"> rendant potentiellement aisés </w:t>
      </w:r>
      <w:r w:rsidR="00664621">
        <w:rPr>
          <w:rFonts w:ascii="Arial" w:hAnsi="Arial" w:cs="Arial"/>
          <w:sz w:val="24"/>
          <w:szCs w:val="24"/>
        </w:rPr>
        <w:t>les exercices de restructuration</w:t>
      </w:r>
      <w:r w:rsidR="003B7D3E">
        <w:rPr>
          <w:rFonts w:ascii="Arial" w:hAnsi="Arial" w:cs="Arial"/>
          <w:sz w:val="24"/>
          <w:szCs w:val="24"/>
        </w:rPr>
        <w:t xml:space="preserve">. </w:t>
      </w:r>
      <w:r w:rsidR="00664621">
        <w:rPr>
          <w:rFonts w:ascii="Arial" w:hAnsi="Arial" w:cs="Arial"/>
          <w:sz w:val="24"/>
          <w:szCs w:val="24"/>
        </w:rPr>
        <w:t xml:space="preserve">Au niveau de la composition du capital et des nœuds de pouvoir, </w:t>
      </w:r>
      <w:r w:rsidR="00052947">
        <w:rPr>
          <w:rFonts w:ascii="Arial" w:hAnsi="Arial" w:cs="Arial"/>
          <w:sz w:val="24"/>
          <w:szCs w:val="24"/>
        </w:rPr>
        <w:t xml:space="preserve">alors que le groupe ACCOR était caractérisé par un actionnariat fortement éclaté, </w:t>
      </w:r>
      <w:r w:rsidR="002A2BF7">
        <w:rPr>
          <w:rFonts w:ascii="Arial" w:hAnsi="Arial" w:cs="Arial"/>
          <w:sz w:val="24"/>
          <w:szCs w:val="24"/>
        </w:rPr>
        <w:t>la formule sociétale retenue par le groupe Lagardère (la Commandite par Action</w:t>
      </w:r>
      <w:r w:rsidR="009260FD">
        <w:rPr>
          <w:rFonts w:ascii="Arial" w:hAnsi="Arial" w:cs="Arial"/>
          <w:sz w:val="24"/>
          <w:szCs w:val="24"/>
        </w:rPr>
        <w:t>s</w:t>
      </w:r>
      <w:r w:rsidR="002A2BF7">
        <w:rPr>
          <w:rFonts w:ascii="Arial" w:hAnsi="Arial" w:cs="Arial"/>
          <w:sz w:val="24"/>
          <w:szCs w:val="24"/>
        </w:rPr>
        <w:t>)</w:t>
      </w:r>
      <w:r w:rsidR="00C321E6">
        <w:rPr>
          <w:rFonts w:ascii="Arial" w:hAnsi="Arial" w:cs="Arial"/>
          <w:sz w:val="24"/>
          <w:szCs w:val="24"/>
        </w:rPr>
        <w:t xml:space="preserve"> </w:t>
      </w:r>
      <w:r w:rsidR="005F4826">
        <w:rPr>
          <w:rFonts w:ascii="Arial" w:hAnsi="Arial" w:cs="Arial"/>
          <w:sz w:val="24"/>
          <w:szCs w:val="24"/>
        </w:rPr>
        <w:t xml:space="preserve">verrouille le capital et </w:t>
      </w:r>
      <w:r w:rsidR="00C321E6">
        <w:rPr>
          <w:rFonts w:ascii="Arial" w:hAnsi="Arial" w:cs="Arial"/>
          <w:sz w:val="24"/>
          <w:szCs w:val="24"/>
        </w:rPr>
        <w:t xml:space="preserve">ne permet </w:t>
      </w:r>
      <w:r w:rsidR="009260FD">
        <w:rPr>
          <w:rFonts w:ascii="Arial" w:hAnsi="Arial" w:cs="Arial"/>
          <w:sz w:val="24"/>
          <w:szCs w:val="24"/>
        </w:rPr>
        <w:t xml:space="preserve">pas </w:t>
      </w:r>
      <w:r w:rsidR="00C321E6">
        <w:rPr>
          <w:rFonts w:ascii="Arial" w:hAnsi="Arial" w:cs="Arial"/>
          <w:sz w:val="24"/>
          <w:szCs w:val="24"/>
        </w:rPr>
        <w:t xml:space="preserve">à l’investisseur institutionnel </w:t>
      </w:r>
      <w:r w:rsidR="003B7BA7">
        <w:rPr>
          <w:rFonts w:ascii="Arial" w:hAnsi="Arial" w:cs="Arial"/>
          <w:sz w:val="24"/>
          <w:szCs w:val="24"/>
        </w:rPr>
        <w:t xml:space="preserve">d’augmenter son pouvoir </w:t>
      </w:r>
      <w:r w:rsidR="00C321E6">
        <w:rPr>
          <w:rFonts w:ascii="Arial" w:hAnsi="Arial" w:cs="Arial"/>
          <w:sz w:val="24"/>
          <w:szCs w:val="24"/>
        </w:rPr>
        <w:t>en utilisant l</w:t>
      </w:r>
      <w:r w:rsidR="00953A8C">
        <w:rPr>
          <w:rFonts w:ascii="Arial" w:hAnsi="Arial" w:cs="Arial"/>
          <w:sz w:val="24"/>
          <w:szCs w:val="24"/>
        </w:rPr>
        <w:t>’unique</w:t>
      </w:r>
      <w:r w:rsidR="00C321E6">
        <w:rPr>
          <w:rFonts w:ascii="Arial" w:hAnsi="Arial" w:cs="Arial"/>
          <w:sz w:val="24"/>
          <w:szCs w:val="24"/>
        </w:rPr>
        <w:t xml:space="preserve"> levier</w:t>
      </w:r>
      <w:r w:rsidR="001B6CCE">
        <w:rPr>
          <w:rFonts w:ascii="Arial" w:hAnsi="Arial" w:cs="Arial"/>
          <w:sz w:val="24"/>
          <w:szCs w:val="24"/>
        </w:rPr>
        <w:t xml:space="preserve"> de l’accroissement d</w:t>
      </w:r>
      <w:r w:rsidR="00953A8C">
        <w:rPr>
          <w:rFonts w:ascii="Arial" w:hAnsi="Arial" w:cs="Arial"/>
          <w:sz w:val="24"/>
          <w:szCs w:val="24"/>
        </w:rPr>
        <w:t>u</w:t>
      </w:r>
      <w:r w:rsidR="001B6CCE">
        <w:rPr>
          <w:rFonts w:ascii="Arial" w:hAnsi="Arial" w:cs="Arial"/>
          <w:sz w:val="24"/>
          <w:szCs w:val="24"/>
        </w:rPr>
        <w:t xml:space="preserve"> capital détenu.</w:t>
      </w:r>
      <w:r w:rsidR="00953A8C">
        <w:rPr>
          <w:rFonts w:ascii="Arial" w:hAnsi="Arial" w:cs="Arial"/>
          <w:sz w:val="24"/>
          <w:szCs w:val="24"/>
        </w:rPr>
        <w:t xml:space="preserve"> Dans les deux cas de figure</w:t>
      </w:r>
      <w:r w:rsidR="00975EAA">
        <w:rPr>
          <w:rFonts w:ascii="Arial" w:hAnsi="Arial" w:cs="Arial"/>
          <w:sz w:val="24"/>
          <w:szCs w:val="24"/>
        </w:rPr>
        <w:t xml:space="preserve">, nous prenons en considération les différents événements </w:t>
      </w:r>
      <w:r w:rsidR="003A79DA">
        <w:rPr>
          <w:rFonts w:ascii="Arial" w:hAnsi="Arial" w:cs="Arial"/>
          <w:sz w:val="24"/>
          <w:szCs w:val="24"/>
        </w:rPr>
        <w:t>consécutifs aux premières prises de participations des institutionnels.</w:t>
      </w:r>
    </w:p>
    <w:p w14:paraId="47CE80BB" w14:textId="39AC254B" w:rsidR="00915611" w:rsidRDefault="00C321E6" w:rsidP="00730589">
      <w:pPr>
        <w:pStyle w:val="Paragraphedeliste"/>
        <w:spacing w:line="240" w:lineRule="auto"/>
        <w:jc w:val="both"/>
        <w:rPr>
          <w:rFonts w:ascii="Arial" w:hAnsi="Arial" w:cs="Arial"/>
          <w:sz w:val="24"/>
          <w:szCs w:val="24"/>
        </w:rPr>
      </w:pPr>
      <w:r>
        <w:rPr>
          <w:rFonts w:ascii="Arial" w:hAnsi="Arial" w:cs="Arial"/>
          <w:sz w:val="24"/>
          <w:szCs w:val="24"/>
        </w:rPr>
        <w:t xml:space="preserve"> </w:t>
      </w:r>
    </w:p>
    <w:p w14:paraId="5EDF0CA3" w14:textId="7EDA3B00" w:rsidR="00730589" w:rsidRDefault="00177EA6" w:rsidP="00177EA6">
      <w:pPr>
        <w:pStyle w:val="Paragraphedeliste"/>
        <w:numPr>
          <w:ilvl w:val="1"/>
          <w:numId w:val="1"/>
        </w:numPr>
        <w:spacing w:line="240" w:lineRule="auto"/>
        <w:jc w:val="both"/>
        <w:rPr>
          <w:rFonts w:ascii="Arial" w:hAnsi="Arial" w:cs="Arial"/>
          <w:sz w:val="24"/>
          <w:szCs w:val="24"/>
          <w:u w:val="single"/>
        </w:rPr>
      </w:pPr>
      <w:r w:rsidRPr="00970492">
        <w:rPr>
          <w:rFonts w:ascii="Arial" w:hAnsi="Arial" w:cs="Arial"/>
          <w:sz w:val="24"/>
          <w:szCs w:val="24"/>
          <w:u w:val="single"/>
        </w:rPr>
        <w:t>Le cas du groupe ACCOR et l’orchestration de l’activisme institutionnel</w:t>
      </w:r>
    </w:p>
    <w:p w14:paraId="7D629B84" w14:textId="05496314" w:rsidR="001D467C" w:rsidRDefault="00A052EB" w:rsidP="003A79DA">
      <w:pPr>
        <w:spacing w:line="240" w:lineRule="auto"/>
        <w:ind w:left="720"/>
        <w:jc w:val="both"/>
        <w:rPr>
          <w:rFonts w:ascii="Arial" w:hAnsi="Arial" w:cs="Arial"/>
          <w:sz w:val="24"/>
          <w:szCs w:val="24"/>
        </w:rPr>
      </w:pPr>
      <w:r w:rsidRPr="00A052EB">
        <w:rPr>
          <w:rFonts w:ascii="Arial" w:hAnsi="Arial" w:cs="Arial"/>
          <w:sz w:val="24"/>
          <w:szCs w:val="24"/>
        </w:rPr>
        <w:t>En 200</w:t>
      </w:r>
      <w:r w:rsidR="00F14B92">
        <w:rPr>
          <w:rFonts w:ascii="Arial" w:hAnsi="Arial" w:cs="Arial"/>
          <w:sz w:val="24"/>
          <w:szCs w:val="24"/>
        </w:rPr>
        <w:t>4</w:t>
      </w:r>
      <w:r w:rsidRPr="00A052EB">
        <w:rPr>
          <w:rFonts w:ascii="Arial" w:hAnsi="Arial" w:cs="Arial"/>
          <w:sz w:val="24"/>
          <w:szCs w:val="24"/>
        </w:rPr>
        <w:t xml:space="preserve">, </w:t>
      </w:r>
      <w:r w:rsidR="00C8073A">
        <w:rPr>
          <w:rFonts w:ascii="Arial" w:hAnsi="Arial" w:cs="Arial"/>
          <w:sz w:val="24"/>
          <w:szCs w:val="24"/>
        </w:rPr>
        <w:t>le groupe ACCOR compren</w:t>
      </w:r>
      <w:r w:rsidR="00BA69C1">
        <w:rPr>
          <w:rFonts w:ascii="Arial" w:hAnsi="Arial" w:cs="Arial"/>
          <w:sz w:val="24"/>
          <w:szCs w:val="24"/>
        </w:rPr>
        <w:t>ait</w:t>
      </w:r>
      <w:r w:rsidR="00C8073A">
        <w:rPr>
          <w:rFonts w:ascii="Arial" w:hAnsi="Arial" w:cs="Arial"/>
          <w:sz w:val="24"/>
          <w:szCs w:val="24"/>
        </w:rPr>
        <w:t xml:space="preserve"> deux </w:t>
      </w:r>
      <w:r w:rsidR="00BB3F05">
        <w:rPr>
          <w:rFonts w:ascii="Arial" w:hAnsi="Arial" w:cs="Arial"/>
          <w:sz w:val="24"/>
          <w:szCs w:val="24"/>
        </w:rPr>
        <w:t xml:space="preserve">grands </w:t>
      </w:r>
      <w:r w:rsidR="00C8073A">
        <w:rPr>
          <w:rFonts w:ascii="Arial" w:hAnsi="Arial" w:cs="Arial"/>
          <w:sz w:val="24"/>
          <w:szCs w:val="24"/>
        </w:rPr>
        <w:t>pôles d’activités peu reliées</w:t>
      </w:r>
      <w:r w:rsidR="00AF7F00">
        <w:rPr>
          <w:rFonts w:ascii="Arial" w:hAnsi="Arial" w:cs="Arial"/>
          <w:sz w:val="24"/>
          <w:szCs w:val="24"/>
        </w:rPr>
        <w:t xml:space="preserve"> : </w:t>
      </w:r>
      <w:r w:rsidR="001E3350">
        <w:rPr>
          <w:rFonts w:ascii="Arial" w:hAnsi="Arial" w:cs="Arial"/>
          <w:sz w:val="24"/>
          <w:szCs w:val="24"/>
        </w:rPr>
        <w:t>son</w:t>
      </w:r>
      <w:r w:rsidR="00AF7F00">
        <w:rPr>
          <w:rFonts w:ascii="Arial" w:hAnsi="Arial" w:cs="Arial"/>
          <w:sz w:val="24"/>
          <w:szCs w:val="24"/>
        </w:rPr>
        <w:t xml:space="preserve"> activité hôtelière historique </w:t>
      </w:r>
      <w:r w:rsidR="00B70597">
        <w:rPr>
          <w:rFonts w:ascii="Arial" w:hAnsi="Arial" w:cs="Arial"/>
          <w:sz w:val="24"/>
          <w:szCs w:val="24"/>
        </w:rPr>
        <w:t xml:space="preserve">(développée au travers d’opérations de croissance interne et externe) </w:t>
      </w:r>
      <w:r w:rsidR="001E3350">
        <w:rPr>
          <w:rFonts w:ascii="Arial" w:hAnsi="Arial" w:cs="Arial"/>
          <w:sz w:val="24"/>
          <w:szCs w:val="24"/>
        </w:rPr>
        <w:t xml:space="preserve">ainsi qu’une activité en lien avec l’émission de tickets restaurants (provenant du rachat </w:t>
      </w:r>
      <w:r w:rsidR="002F2AF6">
        <w:rPr>
          <w:rFonts w:ascii="Arial" w:hAnsi="Arial" w:cs="Arial"/>
          <w:sz w:val="24"/>
          <w:szCs w:val="24"/>
        </w:rPr>
        <w:t>de Jacques Borel International en 1982)</w:t>
      </w:r>
      <w:r w:rsidR="00E364F5">
        <w:rPr>
          <w:rFonts w:ascii="Arial" w:hAnsi="Arial" w:cs="Arial"/>
          <w:sz w:val="24"/>
          <w:szCs w:val="24"/>
        </w:rPr>
        <w:t xml:space="preserve">. </w:t>
      </w:r>
      <w:r w:rsidR="009F0A5D">
        <w:rPr>
          <w:rFonts w:ascii="Arial" w:hAnsi="Arial" w:cs="Arial"/>
          <w:sz w:val="24"/>
          <w:szCs w:val="24"/>
        </w:rPr>
        <w:t xml:space="preserve">Les données </w:t>
      </w:r>
      <w:r w:rsidR="00661AE7">
        <w:rPr>
          <w:rFonts w:ascii="Arial" w:hAnsi="Arial" w:cs="Arial"/>
          <w:sz w:val="24"/>
          <w:szCs w:val="24"/>
        </w:rPr>
        <w:t xml:space="preserve">de performance du groupe démontrent que l’activité hôtelière </w:t>
      </w:r>
      <w:r w:rsidR="00FA093B">
        <w:rPr>
          <w:rFonts w:ascii="Arial" w:hAnsi="Arial" w:cs="Arial"/>
          <w:sz w:val="24"/>
          <w:szCs w:val="24"/>
        </w:rPr>
        <w:t>était</w:t>
      </w:r>
      <w:r w:rsidR="00661AE7">
        <w:rPr>
          <w:rFonts w:ascii="Arial" w:hAnsi="Arial" w:cs="Arial"/>
          <w:sz w:val="24"/>
          <w:szCs w:val="24"/>
        </w:rPr>
        <w:t xml:space="preserve"> constituée d’un</w:t>
      </w:r>
      <w:r w:rsidR="001D467C">
        <w:rPr>
          <w:rFonts w:ascii="Arial" w:hAnsi="Arial" w:cs="Arial"/>
          <w:sz w:val="24"/>
          <w:szCs w:val="24"/>
        </w:rPr>
        <w:t>e</w:t>
      </w:r>
      <w:r w:rsidR="00661AE7">
        <w:rPr>
          <w:rFonts w:ascii="Arial" w:hAnsi="Arial" w:cs="Arial"/>
          <w:sz w:val="24"/>
          <w:szCs w:val="24"/>
        </w:rPr>
        <w:t xml:space="preserve"> nébuleuse de produits à niveaux de re</w:t>
      </w:r>
      <w:r w:rsidR="001D467C">
        <w:rPr>
          <w:rFonts w:ascii="Arial" w:hAnsi="Arial" w:cs="Arial"/>
          <w:sz w:val="24"/>
          <w:szCs w:val="24"/>
        </w:rPr>
        <w:t>ntabilité inégale tandis que l’activité service serait très rentable</w:t>
      </w:r>
      <w:r w:rsidR="003F3451">
        <w:rPr>
          <w:rFonts w:ascii="Arial" w:hAnsi="Arial" w:cs="Arial"/>
          <w:sz w:val="24"/>
          <w:szCs w:val="24"/>
        </w:rPr>
        <w:t xml:space="preserve"> avec, </w:t>
      </w:r>
      <w:proofErr w:type="gramStart"/>
      <w:r w:rsidR="003F3451">
        <w:rPr>
          <w:rFonts w:ascii="Arial" w:hAnsi="Arial" w:cs="Arial"/>
          <w:sz w:val="24"/>
          <w:szCs w:val="24"/>
        </w:rPr>
        <w:t>au final</w:t>
      </w:r>
      <w:proofErr w:type="gramEnd"/>
      <w:r w:rsidR="003F3451">
        <w:rPr>
          <w:rFonts w:ascii="Arial" w:hAnsi="Arial" w:cs="Arial"/>
          <w:sz w:val="24"/>
          <w:szCs w:val="24"/>
        </w:rPr>
        <w:t>, une forte internalisation de mouvements financiers de</w:t>
      </w:r>
      <w:r w:rsidR="000A09C8">
        <w:rPr>
          <w:rFonts w:ascii="Arial" w:hAnsi="Arial" w:cs="Arial"/>
          <w:sz w:val="24"/>
          <w:szCs w:val="24"/>
        </w:rPr>
        <w:t xml:space="preserve"> l’activité service vers celle liée à l’hôtellerie</w:t>
      </w:r>
      <w:r w:rsidR="00C5228B">
        <w:rPr>
          <w:rFonts w:ascii="Arial" w:hAnsi="Arial" w:cs="Arial"/>
          <w:sz w:val="24"/>
          <w:szCs w:val="24"/>
        </w:rPr>
        <w:t xml:space="preserve">. </w:t>
      </w:r>
      <w:r w:rsidR="00C3491B">
        <w:rPr>
          <w:rFonts w:ascii="Arial" w:hAnsi="Arial" w:cs="Arial"/>
          <w:sz w:val="24"/>
          <w:szCs w:val="24"/>
        </w:rPr>
        <w:t>L’attrait des investisseurs institutionnels se porte sur les potentialités de scission du groupe en deux parties autonomes</w:t>
      </w:r>
      <w:r w:rsidR="00B4598D">
        <w:rPr>
          <w:rFonts w:ascii="Arial" w:hAnsi="Arial" w:cs="Arial"/>
          <w:sz w:val="24"/>
          <w:szCs w:val="24"/>
        </w:rPr>
        <w:t>, permettant à celles-ci de développer des orientations stratégiques propres</w:t>
      </w:r>
      <w:r w:rsidR="00CA2E38">
        <w:rPr>
          <w:rFonts w:ascii="Arial" w:hAnsi="Arial" w:cs="Arial"/>
          <w:sz w:val="24"/>
          <w:szCs w:val="24"/>
        </w:rPr>
        <w:t xml:space="preserve"> et </w:t>
      </w:r>
      <w:r w:rsidR="00703616">
        <w:rPr>
          <w:rFonts w:ascii="Arial" w:hAnsi="Arial" w:cs="Arial"/>
          <w:sz w:val="24"/>
          <w:szCs w:val="24"/>
        </w:rPr>
        <w:t>débouchant sur une</w:t>
      </w:r>
      <w:r w:rsidR="00CA2E38">
        <w:rPr>
          <w:rFonts w:ascii="Arial" w:hAnsi="Arial" w:cs="Arial"/>
          <w:sz w:val="24"/>
          <w:szCs w:val="24"/>
        </w:rPr>
        <w:t xml:space="preserve"> valorisation financière spécifique</w:t>
      </w:r>
      <w:r w:rsidR="00B4598D">
        <w:rPr>
          <w:rFonts w:ascii="Arial" w:hAnsi="Arial" w:cs="Arial"/>
          <w:sz w:val="24"/>
          <w:szCs w:val="24"/>
        </w:rPr>
        <w:t xml:space="preserve">. </w:t>
      </w:r>
      <w:r w:rsidR="00703616">
        <w:rPr>
          <w:rFonts w:ascii="Arial" w:hAnsi="Arial" w:cs="Arial"/>
          <w:sz w:val="24"/>
          <w:szCs w:val="24"/>
        </w:rPr>
        <w:t>O</w:t>
      </w:r>
      <w:r w:rsidR="00641B88">
        <w:rPr>
          <w:rFonts w:ascii="Arial" w:hAnsi="Arial" w:cs="Arial"/>
          <w:sz w:val="24"/>
          <w:szCs w:val="24"/>
        </w:rPr>
        <w:t>n peut penser que la formule unifiée complex</w:t>
      </w:r>
      <w:r w:rsidR="001F7182">
        <w:rPr>
          <w:rFonts w:ascii="Arial" w:hAnsi="Arial" w:cs="Arial"/>
          <w:sz w:val="24"/>
          <w:szCs w:val="24"/>
        </w:rPr>
        <w:t>ifie</w:t>
      </w:r>
      <w:r w:rsidR="00641B88">
        <w:rPr>
          <w:rFonts w:ascii="Arial" w:hAnsi="Arial" w:cs="Arial"/>
          <w:sz w:val="24"/>
          <w:szCs w:val="24"/>
        </w:rPr>
        <w:t xml:space="preserve"> les essais de prises de contrô</w:t>
      </w:r>
      <w:r w:rsidR="001F7182">
        <w:rPr>
          <w:rFonts w:ascii="Arial" w:hAnsi="Arial" w:cs="Arial"/>
          <w:sz w:val="24"/>
          <w:szCs w:val="24"/>
        </w:rPr>
        <w:t>le de l’une ou l’autre branche de l’entreprise.</w:t>
      </w:r>
      <w:r w:rsidR="005B5C43">
        <w:rPr>
          <w:rFonts w:ascii="Arial" w:hAnsi="Arial" w:cs="Arial"/>
          <w:sz w:val="24"/>
          <w:szCs w:val="24"/>
        </w:rPr>
        <w:t xml:space="preserve"> Par exemple, </w:t>
      </w:r>
      <w:r w:rsidR="00CA2E38">
        <w:rPr>
          <w:rFonts w:ascii="Arial" w:hAnsi="Arial" w:cs="Arial"/>
          <w:sz w:val="24"/>
          <w:szCs w:val="24"/>
        </w:rPr>
        <w:t>Marriott serait plus enclin</w:t>
      </w:r>
      <w:r w:rsidR="00B45FB1">
        <w:rPr>
          <w:rFonts w:ascii="Arial" w:hAnsi="Arial" w:cs="Arial"/>
          <w:sz w:val="24"/>
          <w:szCs w:val="24"/>
        </w:rPr>
        <w:t xml:space="preserve"> à proposer une reprise de l’activité hôtelière </w:t>
      </w:r>
      <w:r w:rsidR="00001DE5">
        <w:rPr>
          <w:rFonts w:ascii="Arial" w:hAnsi="Arial" w:cs="Arial"/>
          <w:sz w:val="24"/>
          <w:szCs w:val="24"/>
        </w:rPr>
        <w:t xml:space="preserve">valorisée </w:t>
      </w:r>
      <w:r w:rsidR="00017554">
        <w:rPr>
          <w:rFonts w:ascii="Arial" w:hAnsi="Arial" w:cs="Arial"/>
          <w:sz w:val="24"/>
          <w:szCs w:val="24"/>
        </w:rPr>
        <w:t xml:space="preserve">par le marché pour ce qu’elle est, plutôt que d’estimer </w:t>
      </w:r>
      <w:r w:rsidR="00BE4AF4">
        <w:rPr>
          <w:rFonts w:ascii="Arial" w:hAnsi="Arial" w:cs="Arial"/>
          <w:sz w:val="24"/>
          <w:szCs w:val="24"/>
        </w:rPr>
        <w:t>un prix en sachant que l</w:t>
      </w:r>
      <w:r w:rsidR="009B6401">
        <w:rPr>
          <w:rFonts w:ascii="Arial" w:hAnsi="Arial" w:cs="Arial"/>
          <w:sz w:val="24"/>
          <w:szCs w:val="24"/>
        </w:rPr>
        <w:t>a</w:t>
      </w:r>
      <w:r w:rsidR="00BE4AF4">
        <w:rPr>
          <w:rFonts w:ascii="Arial" w:hAnsi="Arial" w:cs="Arial"/>
          <w:sz w:val="24"/>
          <w:szCs w:val="24"/>
        </w:rPr>
        <w:t xml:space="preserve"> valeur </w:t>
      </w:r>
      <w:r w:rsidR="00C417DD">
        <w:rPr>
          <w:rFonts w:ascii="Arial" w:hAnsi="Arial" w:cs="Arial"/>
          <w:sz w:val="24"/>
          <w:szCs w:val="24"/>
        </w:rPr>
        <w:t xml:space="preserve">est </w:t>
      </w:r>
      <w:r w:rsidR="00006808">
        <w:rPr>
          <w:rFonts w:ascii="Arial" w:hAnsi="Arial" w:cs="Arial"/>
          <w:sz w:val="24"/>
          <w:szCs w:val="24"/>
        </w:rPr>
        <w:t>insérée dans un portefeuille d’activités à spectre large.</w:t>
      </w:r>
      <w:r w:rsidR="00017554">
        <w:rPr>
          <w:rFonts w:ascii="Arial" w:hAnsi="Arial" w:cs="Arial"/>
          <w:sz w:val="24"/>
          <w:szCs w:val="24"/>
        </w:rPr>
        <w:t xml:space="preserve"> </w:t>
      </w:r>
    </w:p>
    <w:p w14:paraId="68DAF3A4" w14:textId="3FCB82B8" w:rsidR="000F178C" w:rsidRDefault="00E364F5" w:rsidP="003A79DA">
      <w:pPr>
        <w:spacing w:line="240" w:lineRule="auto"/>
        <w:ind w:left="720"/>
        <w:jc w:val="both"/>
        <w:rPr>
          <w:rFonts w:ascii="Arial" w:hAnsi="Arial" w:cs="Arial"/>
          <w:sz w:val="24"/>
          <w:szCs w:val="24"/>
        </w:rPr>
      </w:pPr>
      <w:r>
        <w:rPr>
          <w:rFonts w:ascii="Arial" w:hAnsi="Arial" w:cs="Arial"/>
          <w:sz w:val="24"/>
          <w:szCs w:val="24"/>
        </w:rPr>
        <w:t>A</w:t>
      </w:r>
      <w:r w:rsidR="00704486" w:rsidRPr="00A052EB">
        <w:rPr>
          <w:rFonts w:ascii="Arial" w:hAnsi="Arial" w:cs="Arial"/>
          <w:sz w:val="24"/>
          <w:szCs w:val="24"/>
        </w:rPr>
        <w:t>u moment de son entrée dans la structure de propriété</w:t>
      </w:r>
      <w:r w:rsidR="00A052EB" w:rsidRPr="00A052EB">
        <w:rPr>
          <w:rFonts w:ascii="Arial" w:hAnsi="Arial" w:cs="Arial"/>
          <w:sz w:val="24"/>
          <w:szCs w:val="24"/>
        </w:rPr>
        <w:t xml:space="preserve"> du groupe ACCOR, </w:t>
      </w:r>
      <w:proofErr w:type="spellStart"/>
      <w:r w:rsidR="00A052EB" w:rsidRPr="00A052EB">
        <w:rPr>
          <w:rFonts w:ascii="Arial" w:hAnsi="Arial" w:cs="Arial"/>
          <w:sz w:val="24"/>
          <w:szCs w:val="24"/>
        </w:rPr>
        <w:t>Colony</w:t>
      </w:r>
      <w:proofErr w:type="spellEnd"/>
      <w:r w:rsidR="00A052EB" w:rsidRPr="00A052EB">
        <w:rPr>
          <w:rFonts w:ascii="Arial" w:hAnsi="Arial" w:cs="Arial"/>
          <w:sz w:val="24"/>
          <w:szCs w:val="24"/>
        </w:rPr>
        <w:t xml:space="preserve"> Capital est </w:t>
      </w:r>
      <w:r w:rsidR="00004262">
        <w:rPr>
          <w:rFonts w:ascii="Arial" w:hAnsi="Arial" w:cs="Arial"/>
          <w:sz w:val="24"/>
          <w:szCs w:val="24"/>
        </w:rPr>
        <w:t xml:space="preserve">alors </w:t>
      </w:r>
      <w:r w:rsidR="00A052EB" w:rsidRPr="00A052EB">
        <w:rPr>
          <w:rFonts w:ascii="Arial" w:hAnsi="Arial" w:cs="Arial"/>
          <w:sz w:val="24"/>
          <w:szCs w:val="24"/>
        </w:rPr>
        <w:t xml:space="preserve">peu connu </w:t>
      </w:r>
      <w:r w:rsidR="00E3316C">
        <w:rPr>
          <w:rFonts w:ascii="Arial" w:hAnsi="Arial" w:cs="Arial"/>
          <w:sz w:val="24"/>
          <w:szCs w:val="24"/>
        </w:rPr>
        <w:t xml:space="preserve">dans l’écosystème financier </w:t>
      </w:r>
      <w:r w:rsidR="00A052EB" w:rsidRPr="00A052EB">
        <w:rPr>
          <w:rFonts w:ascii="Arial" w:hAnsi="Arial" w:cs="Arial"/>
          <w:sz w:val="24"/>
          <w:szCs w:val="24"/>
        </w:rPr>
        <w:t>français</w:t>
      </w:r>
      <w:r w:rsidR="009607E1">
        <w:rPr>
          <w:rFonts w:ascii="Arial" w:hAnsi="Arial" w:cs="Arial"/>
          <w:sz w:val="24"/>
          <w:szCs w:val="24"/>
        </w:rPr>
        <w:t xml:space="preserve"> (</w:t>
      </w:r>
      <w:r w:rsidR="00AA7B7D">
        <w:rPr>
          <w:rFonts w:ascii="Arial" w:hAnsi="Arial" w:cs="Arial"/>
          <w:sz w:val="24"/>
          <w:szCs w:val="24"/>
        </w:rPr>
        <w:t>le rachat de Buffalo Grill à Amber Capital n’</w:t>
      </w:r>
      <w:r w:rsidR="00203BED">
        <w:rPr>
          <w:rFonts w:ascii="Arial" w:hAnsi="Arial" w:cs="Arial"/>
          <w:sz w:val="24"/>
          <w:szCs w:val="24"/>
        </w:rPr>
        <w:t>est intervenu</w:t>
      </w:r>
      <w:r w:rsidR="00AA7B7D">
        <w:rPr>
          <w:rFonts w:ascii="Arial" w:hAnsi="Arial" w:cs="Arial"/>
          <w:sz w:val="24"/>
          <w:szCs w:val="24"/>
        </w:rPr>
        <w:t xml:space="preserve"> qu’en 2005 et </w:t>
      </w:r>
      <w:r w:rsidR="009607E1">
        <w:rPr>
          <w:rFonts w:ascii="Arial" w:hAnsi="Arial" w:cs="Arial"/>
          <w:sz w:val="24"/>
          <w:szCs w:val="24"/>
        </w:rPr>
        <w:t xml:space="preserve">la prise </w:t>
      </w:r>
      <w:r w:rsidR="00E3316C">
        <w:rPr>
          <w:rFonts w:ascii="Arial" w:hAnsi="Arial" w:cs="Arial"/>
          <w:sz w:val="24"/>
          <w:szCs w:val="24"/>
        </w:rPr>
        <w:t xml:space="preserve">de </w:t>
      </w:r>
      <w:r w:rsidR="009607E1">
        <w:rPr>
          <w:rFonts w:ascii="Arial" w:hAnsi="Arial" w:cs="Arial"/>
          <w:sz w:val="24"/>
          <w:szCs w:val="24"/>
        </w:rPr>
        <w:t>contr</w:t>
      </w:r>
      <w:r w:rsidR="005C61C6">
        <w:rPr>
          <w:rFonts w:ascii="Arial" w:hAnsi="Arial" w:cs="Arial"/>
          <w:sz w:val="24"/>
          <w:szCs w:val="24"/>
        </w:rPr>
        <w:t>ôle du PSG en 2008</w:t>
      </w:r>
      <w:r w:rsidR="00721BBB">
        <w:rPr>
          <w:rFonts w:ascii="Arial" w:hAnsi="Arial" w:cs="Arial"/>
          <w:sz w:val="24"/>
          <w:szCs w:val="24"/>
        </w:rPr>
        <w:t>). D’origine américaine et lui-même coté en Bourse, cet investisseur était alors principalement actif dans le domaine de l’immobilier</w:t>
      </w:r>
      <w:r w:rsidR="00F53B4B">
        <w:rPr>
          <w:rFonts w:ascii="Arial" w:hAnsi="Arial" w:cs="Arial"/>
          <w:sz w:val="24"/>
          <w:szCs w:val="24"/>
        </w:rPr>
        <w:t xml:space="preserve"> et positionné sur l</w:t>
      </w:r>
      <w:r w:rsidR="00787BE8">
        <w:rPr>
          <w:rFonts w:ascii="Arial" w:hAnsi="Arial" w:cs="Arial"/>
          <w:sz w:val="24"/>
          <w:szCs w:val="24"/>
        </w:rPr>
        <w:t>e</w:t>
      </w:r>
      <w:r w:rsidR="00F53B4B">
        <w:rPr>
          <w:rFonts w:ascii="Arial" w:hAnsi="Arial" w:cs="Arial"/>
          <w:sz w:val="24"/>
          <w:szCs w:val="24"/>
        </w:rPr>
        <w:t xml:space="preserve"> marché américain</w:t>
      </w:r>
      <w:r w:rsidR="00721BBB">
        <w:rPr>
          <w:rFonts w:ascii="Arial" w:hAnsi="Arial" w:cs="Arial"/>
          <w:sz w:val="24"/>
          <w:szCs w:val="24"/>
        </w:rPr>
        <w:t>.</w:t>
      </w:r>
      <w:r w:rsidR="005543E7">
        <w:rPr>
          <w:rFonts w:ascii="Arial" w:hAnsi="Arial" w:cs="Arial"/>
          <w:sz w:val="24"/>
          <w:szCs w:val="24"/>
        </w:rPr>
        <w:t xml:space="preserve"> </w:t>
      </w:r>
    </w:p>
    <w:p w14:paraId="2B99EBEF" w14:textId="19BA5A9C" w:rsidR="005A437E" w:rsidRDefault="00972D6D" w:rsidP="004B0E3A">
      <w:pPr>
        <w:spacing w:line="240" w:lineRule="auto"/>
        <w:ind w:left="720"/>
        <w:jc w:val="both"/>
        <w:rPr>
          <w:rFonts w:ascii="Arial" w:hAnsi="Arial" w:cs="Arial"/>
          <w:sz w:val="24"/>
          <w:szCs w:val="24"/>
        </w:rPr>
      </w:pPr>
      <w:r>
        <w:rPr>
          <w:rFonts w:ascii="Arial" w:hAnsi="Arial" w:cs="Arial"/>
          <w:sz w:val="24"/>
          <w:szCs w:val="24"/>
        </w:rPr>
        <w:t>En 2004</w:t>
      </w:r>
      <w:r w:rsidR="00E75290">
        <w:rPr>
          <w:rFonts w:ascii="Arial" w:hAnsi="Arial" w:cs="Arial"/>
          <w:sz w:val="24"/>
          <w:szCs w:val="24"/>
        </w:rPr>
        <w:t>,</w:t>
      </w:r>
      <w:r>
        <w:rPr>
          <w:rFonts w:ascii="Arial" w:hAnsi="Arial" w:cs="Arial"/>
          <w:sz w:val="24"/>
          <w:szCs w:val="24"/>
        </w:rPr>
        <w:t xml:space="preserve"> et sans his</w:t>
      </w:r>
      <w:r w:rsidR="00A172ED">
        <w:rPr>
          <w:rFonts w:ascii="Arial" w:hAnsi="Arial" w:cs="Arial"/>
          <w:sz w:val="24"/>
          <w:szCs w:val="24"/>
        </w:rPr>
        <w:t>torique actionnarial préalable au sein du groupe</w:t>
      </w:r>
      <w:r w:rsidR="00FA6D01">
        <w:rPr>
          <w:rFonts w:ascii="Arial" w:hAnsi="Arial" w:cs="Arial"/>
          <w:sz w:val="24"/>
          <w:szCs w:val="24"/>
        </w:rPr>
        <w:t xml:space="preserve">, </w:t>
      </w:r>
      <w:proofErr w:type="spellStart"/>
      <w:r w:rsidR="00FA6D01">
        <w:rPr>
          <w:rFonts w:ascii="Arial" w:hAnsi="Arial" w:cs="Arial"/>
          <w:sz w:val="24"/>
          <w:szCs w:val="24"/>
        </w:rPr>
        <w:t>Colony</w:t>
      </w:r>
      <w:proofErr w:type="spellEnd"/>
      <w:r w:rsidR="00FA6D01">
        <w:rPr>
          <w:rFonts w:ascii="Arial" w:hAnsi="Arial" w:cs="Arial"/>
          <w:sz w:val="24"/>
          <w:szCs w:val="24"/>
        </w:rPr>
        <w:t xml:space="preserve"> Capital devint le premier actionnaire de l’entreprise</w:t>
      </w:r>
      <w:r w:rsidR="008529DF">
        <w:rPr>
          <w:rFonts w:ascii="Arial" w:hAnsi="Arial" w:cs="Arial"/>
          <w:sz w:val="24"/>
          <w:szCs w:val="24"/>
        </w:rPr>
        <w:t xml:space="preserve">, avec peu de contre-pouvoir pour </w:t>
      </w:r>
      <w:r w:rsidR="00501827">
        <w:rPr>
          <w:rFonts w:ascii="Arial" w:hAnsi="Arial" w:cs="Arial"/>
          <w:sz w:val="24"/>
          <w:szCs w:val="24"/>
        </w:rPr>
        <w:t>mettre à mal</w:t>
      </w:r>
      <w:r w:rsidR="008529DF">
        <w:rPr>
          <w:rFonts w:ascii="Arial" w:hAnsi="Arial" w:cs="Arial"/>
          <w:sz w:val="24"/>
          <w:szCs w:val="24"/>
        </w:rPr>
        <w:t xml:space="preserve"> d’éventuelles </w:t>
      </w:r>
      <w:r w:rsidR="0066520D">
        <w:rPr>
          <w:rFonts w:ascii="Arial" w:hAnsi="Arial" w:cs="Arial"/>
          <w:sz w:val="24"/>
          <w:szCs w:val="24"/>
        </w:rPr>
        <w:t>manœuvres activistes, si ce n’est celui de la Caisse des Dépôts et des Consignations</w:t>
      </w:r>
      <w:r w:rsidR="00B11640">
        <w:rPr>
          <w:rFonts w:ascii="Arial" w:hAnsi="Arial" w:cs="Arial"/>
          <w:sz w:val="24"/>
          <w:szCs w:val="24"/>
        </w:rPr>
        <w:t xml:space="preserve"> dont l’intervention est fortement conditionnée au bon vouloir politique</w:t>
      </w:r>
      <w:r w:rsidR="0066520D">
        <w:rPr>
          <w:rFonts w:ascii="Arial" w:hAnsi="Arial" w:cs="Arial"/>
          <w:sz w:val="24"/>
          <w:szCs w:val="24"/>
        </w:rPr>
        <w:t>.</w:t>
      </w:r>
      <w:r w:rsidR="001F318E">
        <w:rPr>
          <w:rFonts w:ascii="Arial" w:hAnsi="Arial" w:cs="Arial"/>
          <w:sz w:val="24"/>
          <w:szCs w:val="24"/>
        </w:rPr>
        <w:t xml:space="preserve"> </w:t>
      </w:r>
      <w:r w:rsidR="00E97AAA" w:rsidRPr="00E97AAA">
        <w:rPr>
          <w:rFonts w:ascii="Arial" w:hAnsi="Arial" w:cs="Arial"/>
          <w:sz w:val="24"/>
          <w:szCs w:val="24"/>
        </w:rPr>
        <w:t xml:space="preserve">En fonction de la forte dispersion des droits de propriété d’ACCOR, </w:t>
      </w:r>
      <w:proofErr w:type="spellStart"/>
      <w:r w:rsidR="00E97AAA" w:rsidRPr="00E97AAA">
        <w:rPr>
          <w:rFonts w:ascii="Arial" w:hAnsi="Arial" w:cs="Arial"/>
          <w:sz w:val="24"/>
          <w:szCs w:val="24"/>
        </w:rPr>
        <w:t>Colony</w:t>
      </w:r>
      <w:proofErr w:type="spellEnd"/>
      <w:r w:rsidR="00E97AAA" w:rsidRPr="00E97AAA">
        <w:rPr>
          <w:rFonts w:ascii="Arial" w:hAnsi="Arial" w:cs="Arial"/>
          <w:sz w:val="24"/>
          <w:szCs w:val="24"/>
        </w:rPr>
        <w:t xml:space="preserve"> Capital s</w:t>
      </w:r>
      <w:r w:rsidR="00E97AAA">
        <w:rPr>
          <w:rFonts w:ascii="Arial" w:hAnsi="Arial" w:cs="Arial"/>
          <w:sz w:val="24"/>
          <w:szCs w:val="24"/>
        </w:rPr>
        <w:t>’est</w:t>
      </w:r>
      <w:r w:rsidR="00E97AAA" w:rsidRPr="00E97AAA">
        <w:rPr>
          <w:rFonts w:ascii="Arial" w:hAnsi="Arial" w:cs="Arial"/>
          <w:sz w:val="24"/>
          <w:szCs w:val="24"/>
        </w:rPr>
        <w:t xml:space="preserve"> positionn</w:t>
      </w:r>
      <w:r w:rsidR="00E97AAA">
        <w:rPr>
          <w:rFonts w:ascii="Arial" w:hAnsi="Arial" w:cs="Arial"/>
          <w:sz w:val="24"/>
          <w:szCs w:val="24"/>
        </w:rPr>
        <w:t>é</w:t>
      </w:r>
      <w:r w:rsidR="00E97AAA" w:rsidRPr="00E97AAA">
        <w:rPr>
          <w:rFonts w:ascii="Arial" w:hAnsi="Arial" w:cs="Arial"/>
          <w:sz w:val="24"/>
          <w:szCs w:val="24"/>
        </w:rPr>
        <w:t xml:space="preserve"> au sein d’une structure relativement ouverte et perméable</w:t>
      </w:r>
      <w:r w:rsidR="005F7B89">
        <w:rPr>
          <w:rFonts w:ascii="Arial" w:hAnsi="Arial" w:cs="Arial"/>
          <w:sz w:val="24"/>
          <w:szCs w:val="24"/>
        </w:rPr>
        <w:t xml:space="preserve"> à de l’activisme</w:t>
      </w:r>
      <w:r w:rsidR="00E97AAA" w:rsidRPr="00E97AAA">
        <w:rPr>
          <w:rFonts w:ascii="Arial" w:hAnsi="Arial" w:cs="Arial"/>
          <w:sz w:val="24"/>
          <w:szCs w:val="24"/>
        </w:rPr>
        <w:t xml:space="preserve">.  </w:t>
      </w:r>
    </w:p>
    <w:p w14:paraId="78489199" w14:textId="6042ADFD" w:rsidR="00CD107F" w:rsidRDefault="005A437E" w:rsidP="006A6BEB">
      <w:pPr>
        <w:spacing w:line="240" w:lineRule="auto"/>
        <w:ind w:left="720"/>
        <w:jc w:val="both"/>
        <w:rPr>
          <w:rFonts w:ascii="Arial" w:hAnsi="Arial" w:cs="Arial"/>
          <w:sz w:val="24"/>
          <w:szCs w:val="24"/>
        </w:rPr>
      </w:pPr>
      <w:r>
        <w:rPr>
          <w:rFonts w:ascii="Arial" w:hAnsi="Arial" w:cs="Arial"/>
          <w:sz w:val="24"/>
          <w:szCs w:val="24"/>
        </w:rPr>
        <w:lastRenderedPageBreak/>
        <w:t xml:space="preserve">Les premiers discours de </w:t>
      </w:r>
      <w:proofErr w:type="spellStart"/>
      <w:r>
        <w:rPr>
          <w:rFonts w:ascii="Arial" w:hAnsi="Arial" w:cs="Arial"/>
          <w:sz w:val="24"/>
          <w:szCs w:val="24"/>
        </w:rPr>
        <w:t>Colony</w:t>
      </w:r>
      <w:proofErr w:type="spellEnd"/>
      <w:r>
        <w:rPr>
          <w:rFonts w:ascii="Arial" w:hAnsi="Arial" w:cs="Arial"/>
          <w:sz w:val="24"/>
          <w:szCs w:val="24"/>
        </w:rPr>
        <w:t xml:space="preserve"> Capital s</w:t>
      </w:r>
      <w:r w:rsidR="00E97AAA">
        <w:rPr>
          <w:rFonts w:ascii="Arial" w:hAnsi="Arial" w:cs="Arial"/>
          <w:sz w:val="24"/>
          <w:szCs w:val="24"/>
        </w:rPr>
        <w:t>e veulent</w:t>
      </w:r>
      <w:r>
        <w:rPr>
          <w:rFonts w:ascii="Arial" w:hAnsi="Arial" w:cs="Arial"/>
          <w:sz w:val="24"/>
          <w:szCs w:val="24"/>
        </w:rPr>
        <w:t xml:space="preserve"> rassurants et l’idée serait de l</w:t>
      </w:r>
      <w:r w:rsidR="004B0E3A" w:rsidRPr="004B0E3A">
        <w:rPr>
          <w:rFonts w:ascii="Arial" w:hAnsi="Arial" w:cs="Arial"/>
          <w:sz w:val="24"/>
          <w:szCs w:val="24"/>
        </w:rPr>
        <w:t>aisser une latitude managériale élevée à l’équipe dirigeante</w:t>
      </w:r>
      <w:r w:rsidR="0087347B">
        <w:rPr>
          <w:rFonts w:ascii="Arial" w:hAnsi="Arial" w:cs="Arial"/>
          <w:sz w:val="24"/>
          <w:szCs w:val="24"/>
        </w:rPr>
        <w:t> ; l’investisseur demande cependant une r</w:t>
      </w:r>
      <w:r w:rsidR="004B0E3A" w:rsidRPr="004B0E3A">
        <w:rPr>
          <w:rFonts w:ascii="Arial" w:hAnsi="Arial" w:cs="Arial"/>
          <w:sz w:val="24"/>
          <w:szCs w:val="24"/>
        </w:rPr>
        <w:t>eprésentation au sein des organes de gouvernance</w:t>
      </w:r>
      <w:r w:rsidR="0087347B">
        <w:rPr>
          <w:rFonts w:ascii="Arial" w:hAnsi="Arial" w:cs="Arial"/>
          <w:sz w:val="24"/>
          <w:szCs w:val="24"/>
        </w:rPr>
        <w:t>.</w:t>
      </w:r>
      <w:r w:rsidR="006A6BEB">
        <w:rPr>
          <w:rFonts w:ascii="Arial" w:hAnsi="Arial" w:cs="Arial"/>
          <w:sz w:val="24"/>
          <w:szCs w:val="24"/>
        </w:rPr>
        <w:t xml:space="preserve"> </w:t>
      </w:r>
      <w:r w:rsidR="004B0E3A" w:rsidRPr="004B0E3A">
        <w:rPr>
          <w:rFonts w:ascii="Arial" w:hAnsi="Arial" w:cs="Arial"/>
          <w:sz w:val="24"/>
          <w:szCs w:val="24"/>
        </w:rPr>
        <w:t>Accor assujettit cette présence à un accord de stabilité dans la durée afin de garantir que ce renforcement au capital ne s’accompagnera pas d’une prise de contrôle de la société</w:t>
      </w:r>
      <w:r w:rsidR="006A6BEB">
        <w:rPr>
          <w:rFonts w:ascii="Arial" w:hAnsi="Arial" w:cs="Arial"/>
          <w:sz w:val="24"/>
          <w:szCs w:val="24"/>
        </w:rPr>
        <w:t xml:space="preserve"> et souhaite </w:t>
      </w:r>
      <w:r w:rsidR="00CD107F">
        <w:rPr>
          <w:rFonts w:ascii="Arial" w:hAnsi="Arial" w:cs="Arial"/>
          <w:sz w:val="24"/>
          <w:szCs w:val="24"/>
        </w:rPr>
        <w:t>également</w:t>
      </w:r>
      <w:r w:rsidR="00CD107F" w:rsidRPr="004B0E3A">
        <w:rPr>
          <w:rFonts w:ascii="Arial" w:hAnsi="Arial" w:cs="Arial"/>
          <w:sz w:val="24"/>
          <w:szCs w:val="24"/>
        </w:rPr>
        <w:t xml:space="preserve"> que</w:t>
      </w:r>
      <w:r w:rsidR="006A6BEB">
        <w:rPr>
          <w:rFonts w:ascii="Arial" w:hAnsi="Arial" w:cs="Arial"/>
          <w:sz w:val="24"/>
          <w:szCs w:val="24"/>
        </w:rPr>
        <w:t xml:space="preserve"> </w:t>
      </w:r>
      <w:proofErr w:type="spellStart"/>
      <w:r w:rsidR="004B0E3A" w:rsidRPr="004B0E3A">
        <w:rPr>
          <w:rFonts w:ascii="Arial" w:hAnsi="Arial" w:cs="Arial"/>
          <w:sz w:val="24"/>
          <w:szCs w:val="24"/>
        </w:rPr>
        <w:t>Colony</w:t>
      </w:r>
      <w:proofErr w:type="spellEnd"/>
      <w:r w:rsidR="004B0E3A" w:rsidRPr="004B0E3A">
        <w:rPr>
          <w:rFonts w:ascii="Arial" w:hAnsi="Arial" w:cs="Arial"/>
          <w:sz w:val="24"/>
          <w:szCs w:val="24"/>
        </w:rPr>
        <w:t xml:space="preserve"> </w:t>
      </w:r>
      <w:r w:rsidR="006A6BEB">
        <w:rPr>
          <w:rFonts w:ascii="Arial" w:hAnsi="Arial" w:cs="Arial"/>
          <w:sz w:val="24"/>
          <w:szCs w:val="24"/>
        </w:rPr>
        <w:t xml:space="preserve">Capital </w:t>
      </w:r>
      <w:r w:rsidR="004B0E3A" w:rsidRPr="004B0E3A">
        <w:rPr>
          <w:rFonts w:ascii="Arial" w:hAnsi="Arial" w:cs="Arial"/>
          <w:sz w:val="24"/>
          <w:szCs w:val="24"/>
        </w:rPr>
        <w:t xml:space="preserve">confirme </w:t>
      </w:r>
      <w:r w:rsidR="006A6BEB">
        <w:rPr>
          <w:rFonts w:ascii="Arial" w:hAnsi="Arial" w:cs="Arial"/>
          <w:sz w:val="24"/>
          <w:szCs w:val="24"/>
        </w:rPr>
        <w:t>son</w:t>
      </w:r>
      <w:r w:rsidR="004B0E3A" w:rsidRPr="004B0E3A">
        <w:rPr>
          <w:rFonts w:ascii="Arial" w:hAnsi="Arial" w:cs="Arial"/>
          <w:sz w:val="24"/>
          <w:szCs w:val="24"/>
        </w:rPr>
        <w:t xml:space="preserve"> soutien à la stratégie du </w:t>
      </w:r>
      <w:r w:rsidR="00CD107F">
        <w:rPr>
          <w:rFonts w:ascii="Arial" w:hAnsi="Arial" w:cs="Arial"/>
          <w:sz w:val="24"/>
          <w:szCs w:val="24"/>
        </w:rPr>
        <w:t>g</w:t>
      </w:r>
      <w:r w:rsidR="004B0E3A" w:rsidRPr="004B0E3A">
        <w:rPr>
          <w:rFonts w:ascii="Arial" w:hAnsi="Arial" w:cs="Arial"/>
          <w:sz w:val="24"/>
          <w:szCs w:val="24"/>
        </w:rPr>
        <w:t>roupe reposant sur deux métiers, l’hôtellerie et les services.</w:t>
      </w:r>
      <w:r w:rsidR="00CD107F">
        <w:rPr>
          <w:rFonts w:ascii="Arial" w:hAnsi="Arial" w:cs="Arial"/>
          <w:sz w:val="24"/>
          <w:szCs w:val="24"/>
        </w:rPr>
        <w:t xml:space="preserve"> </w:t>
      </w:r>
    </w:p>
    <w:p w14:paraId="450FF2C1" w14:textId="66C4AF0B" w:rsidR="00AE6368" w:rsidRDefault="001F318E" w:rsidP="006A6BEB">
      <w:pPr>
        <w:spacing w:line="240" w:lineRule="auto"/>
        <w:ind w:left="720"/>
        <w:jc w:val="both"/>
        <w:rPr>
          <w:rFonts w:ascii="Arial" w:hAnsi="Arial" w:cs="Arial"/>
          <w:sz w:val="24"/>
          <w:szCs w:val="24"/>
        </w:rPr>
      </w:pPr>
      <w:r>
        <w:rPr>
          <w:rFonts w:ascii="Arial" w:hAnsi="Arial" w:cs="Arial"/>
          <w:sz w:val="24"/>
          <w:szCs w:val="24"/>
        </w:rPr>
        <w:t>Les niveaux de participation</w:t>
      </w:r>
      <w:r w:rsidR="009072D3">
        <w:rPr>
          <w:rFonts w:ascii="Arial" w:hAnsi="Arial" w:cs="Arial"/>
          <w:sz w:val="24"/>
          <w:szCs w:val="24"/>
        </w:rPr>
        <w:t>s</w:t>
      </w:r>
      <w:r>
        <w:rPr>
          <w:rFonts w:ascii="Arial" w:hAnsi="Arial" w:cs="Arial"/>
          <w:sz w:val="24"/>
          <w:szCs w:val="24"/>
        </w:rPr>
        <w:t xml:space="preserve"> </w:t>
      </w:r>
      <w:r w:rsidR="00F31B71">
        <w:rPr>
          <w:rFonts w:ascii="Arial" w:hAnsi="Arial" w:cs="Arial"/>
          <w:sz w:val="24"/>
          <w:szCs w:val="24"/>
        </w:rPr>
        <w:t xml:space="preserve">sont </w:t>
      </w:r>
      <w:r>
        <w:rPr>
          <w:rFonts w:ascii="Arial" w:hAnsi="Arial" w:cs="Arial"/>
          <w:sz w:val="24"/>
          <w:szCs w:val="24"/>
        </w:rPr>
        <w:t>demeur</w:t>
      </w:r>
      <w:r w:rsidR="00F31B71">
        <w:rPr>
          <w:rFonts w:ascii="Arial" w:hAnsi="Arial" w:cs="Arial"/>
          <w:sz w:val="24"/>
          <w:szCs w:val="24"/>
        </w:rPr>
        <w:t>és</w:t>
      </w:r>
      <w:r>
        <w:rPr>
          <w:rFonts w:ascii="Arial" w:hAnsi="Arial" w:cs="Arial"/>
          <w:sz w:val="24"/>
          <w:szCs w:val="24"/>
        </w:rPr>
        <w:t xml:space="preserve"> relativement stables jusqu’en 200</w:t>
      </w:r>
      <w:r w:rsidR="005F52BF">
        <w:rPr>
          <w:rFonts w:ascii="Arial" w:hAnsi="Arial" w:cs="Arial"/>
          <w:sz w:val="24"/>
          <w:szCs w:val="24"/>
        </w:rPr>
        <w:t>6</w:t>
      </w:r>
      <w:r w:rsidR="001C690C">
        <w:rPr>
          <w:rFonts w:ascii="Arial" w:hAnsi="Arial" w:cs="Arial"/>
          <w:sz w:val="24"/>
          <w:szCs w:val="24"/>
        </w:rPr>
        <w:t xml:space="preserve"> ; </w:t>
      </w:r>
      <w:r w:rsidR="00E35C92">
        <w:rPr>
          <w:rFonts w:ascii="Arial" w:hAnsi="Arial" w:cs="Arial"/>
          <w:sz w:val="24"/>
          <w:szCs w:val="24"/>
        </w:rPr>
        <w:t>en revanche</w:t>
      </w:r>
      <w:r w:rsidR="00642295">
        <w:rPr>
          <w:rFonts w:ascii="Arial" w:hAnsi="Arial" w:cs="Arial"/>
          <w:sz w:val="24"/>
          <w:szCs w:val="24"/>
        </w:rPr>
        <w:t xml:space="preserve">, ils </w:t>
      </w:r>
      <w:r w:rsidR="00F31B71">
        <w:rPr>
          <w:rFonts w:ascii="Arial" w:hAnsi="Arial" w:cs="Arial"/>
          <w:sz w:val="24"/>
          <w:szCs w:val="24"/>
        </w:rPr>
        <w:t>se sont accrus</w:t>
      </w:r>
      <w:r w:rsidR="005F52BF">
        <w:rPr>
          <w:rFonts w:ascii="Arial" w:hAnsi="Arial" w:cs="Arial"/>
          <w:sz w:val="24"/>
          <w:szCs w:val="24"/>
        </w:rPr>
        <w:t xml:space="preserve"> de manière sensible à partir de 2007</w:t>
      </w:r>
      <w:r w:rsidR="00557E10">
        <w:rPr>
          <w:rFonts w:ascii="Arial" w:hAnsi="Arial" w:cs="Arial"/>
          <w:sz w:val="24"/>
          <w:szCs w:val="24"/>
        </w:rPr>
        <w:t xml:space="preserve">. Le poids de </w:t>
      </w:r>
      <w:proofErr w:type="spellStart"/>
      <w:r w:rsidR="00557E10">
        <w:rPr>
          <w:rFonts w:ascii="Arial" w:hAnsi="Arial" w:cs="Arial"/>
          <w:sz w:val="24"/>
          <w:szCs w:val="24"/>
        </w:rPr>
        <w:t>Colony</w:t>
      </w:r>
      <w:proofErr w:type="spellEnd"/>
      <w:r w:rsidR="00557E10">
        <w:rPr>
          <w:rFonts w:ascii="Arial" w:hAnsi="Arial" w:cs="Arial"/>
          <w:sz w:val="24"/>
          <w:szCs w:val="24"/>
        </w:rPr>
        <w:t xml:space="preserve"> Capital est d’autant plus marqué</w:t>
      </w:r>
      <w:r w:rsidR="009F01FD">
        <w:rPr>
          <w:rFonts w:ascii="Arial" w:hAnsi="Arial" w:cs="Arial"/>
          <w:sz w:val="24"/>
          <w:szCs w:val="24"/>
        </w:rPr>
        <w:t xml:space="preserve"> qu’à partir de 200</w:t>
      </w:r>
      <w:r w:rsidR="0061473B">
        <w:rPr>
          <w:rFonts w:ascii="Arial" w:hAnsi="Arial" w:cs="Arial"/>
          <w:sz w:val="24"/>
          <w:szCs w:val="24"/>
        </w:rPr>
        <w:t>9</w:t>
      </w:r>
      <w:r w:rsidR="009F01FD">
        <w:rPr>
          <w:rFonts w:ascii="Arial" w:hAnsi="Arial" w:cs="Arial"/>
          <w:sz w:val="24"/>
          <w:szCs w:val="24"/>
        </w:rPr>
        <w:t xml:space="preserve">, </w:t>
      </w:r>
      <w:proofErr w:type="spellStart"/>
      <w:r w:rsidR="009F01FD">
        <w:rPr>
          <w:rFonts w:ascii="Arial" w:hAnsi="Arial" w:cs="Arial"/>
          <w:sz w:val="24"/>
          <w:szCs w:val="24"/>
        </w:rPr>
        <w:t>Eurazeo</w:t>
      </w:r>
      <w:proofErr w:type="spellEnd"/>
      <w:r w:rsidR="009F01FD">
        <w:rPr>
          <w:rFonts w:ascii="Arial" w:hAnsi="Arial" w:cs="Arial"/>
          <w:sz w:val="24"/>
          <w:szCs w:val="24"/>
        </w:rPr>
        <w:t xml:space="preserve"> (qui </w:t>
      </w:r>
      <w:r w:rsidR="001E0F93">
        <w:rPr>
          <w:rFonts w:ascii="Arial" w:hAnsi="Arial" w:cs="Arial"/>
          <w:sz w:val="24"/>
          <w:szCs w:val="24"/>
        </w:rPr>
        <w:t>a pris</w:t>
      </w:r>
      <w:r w:rsidR="009F01FD">
        <w:rPr>
          <w:rFonts w:ascii="Arial" w:hAnsi="Arial" w:cs="Arial"/>
          <w:sz w:val="24"/>
          <w:szCs w:val="24"/>
        </w:rPr>
        <w:t xml:space="preserve"> </w:t>
      </w:r>
      <w:r w:rsidR="009B2930">
        <w:rPr>
          <w:rFonts w:ascii="Arial" w:hAnsi="Arial" w:cs="Arial"/>
          <w:sz w:val="24"/>
          <w:szCs w:val="24"/>
        </w:rPr>
        <w:t>plus de 10% du capital</w:t>
      </w:r>
      <w:r w:rsidR="004B04AB">
        <w:rPr>
          <w:rFonts w:ascii="Arial" w:hAnsi="Arial" w:cs="Arial"/>
          <w:sz w:val="24"/>
          <w:szCs w:val="24"/>
        </w:rPr>
        <w:t xml:space="preserve"> </w:t>
      </w:r>
      <w:r w:rsidR="000F09BF">
        <w:rPr>
          <w:rFonts w:ascii="Arial" w:hAnsi="Arial" w:cs="Arial"/>
          <w:sz w:val="24"/>
          <w:szCs w:val="24"/>
        </w:rPr>
        <w:t>en 2007</w:t>
      </w:r>
      <w:r w:rsidR="009B2930">
        <w:rPr>
          <w:rFonts w:ascii="Arial" w:hAnsi="Arial" w:cs="Arial"/>
          <w:sz w:val="24"/>
          <w:szCs w:val="24"/>
        </w:rPr>
        <w:t xml:space="preserve">) et </w:t>
      </w:r>
      <w:proofErr w:type="spellStart"/>
      <w:r w:rsidR="009B2930">
        <w:rPr>
          <w:rFonts w:ascii="Arial" w:hAnsi="Arial" w:cs="Arial"/>
          <w:sz w:val="24"/>
          <w:szCs w:val="24"/>
        </w:rPr>
        <w:t>Colony</w:t>
      </w:r>
      <w:proofErr w:type="spellEnd"/>
      <w:r w:rsidR="009B2930">
        <w:rPr>
          <w:rFonts w:ascii="Arial" w:hAnsi="Arial" w:cs="Arial"/>
          <w:sz w:val="24"/>
          <w:szCs w:val="24"/>
        </w:rPr>
        <w:t xml:space="preserve"> Capital </w:t>
      </w:r>
      <w:r w:rsidR="004B04AB">
        <w:rPr>
          <w:rFonts w:ascii="Arial" w:hAnsi="Arial" w:cs="Arial"/>
          <w:sz w:val="24"/>
          <w:szCs w:val="24"/>
        </w:rPr>
        <w:t>ont pr</w:t>
      </w:r>
      <w:r w:rsidR="00B26835">
        <w:rPr>
          <w:rFonts w:ascii="Arial" w:hAnsi="Arial" w:cs="Arial"/>
          <w:sz w:val="24"/>
          <w:szCs w:val="24"/>
        </w:rPr>
        <w:t>is</w:t>
      </w:r>
      <w:r w:rsidR="004B04AB">
        <w:rPr>
          <w:rFonts w:ascii="Arial" w:hAnsi="Arial" w:cs="Arial"/>
          <w:sz w:val="24"/>
          <w:szCs w:val="24"/>
        </w:rPr>
        <w:t xml:space="preserve"> la décision d’une action</w:t>
      </w:r>
      <w:r w:rsidR="009B2930">
        <w:rPr>
          <w:rFonts w:ascii="Arial" w:hAnsi="Arial" w:cs="Arial"/>
          <w:sz w:val="24"/>
          <w:szCs w:val="24"/>
        </w:rPr>
        <w:t xml:space="preserve"> </w:t>
      </w:r>
      <w:r w:rsidR="00221AFD">
        <w:rPr>
          <w:rFonts w:ascii="Arial" w:hAnsi="Arial" w:cs="Arial"/>
          <w:sz w:val="24"/>
          <w:szCs w:val="24"/>
        </w:rPr>
        <w:t>concertée</w:t>
      </w:r>
      <w:r w:rsidR="009B2930">
        <w:rPr>
          <w:rFonts w:ascii="Arial" w:hAnsi="Arial" w:cs="Arial"/>
          <w:sz w:val="24"/>
          <w:szCs w:val="24"/>
        </w:rPr>
        <w:t>.</w:t>
      </w:r>
      <w:r w:rsidR="00023A7E">
        <w:rPr>
          <w:rFonts w:ascii="Arial" w:hAnsi="Arial" w:cs="Arial"/>
          <w:sz w:val="24"/>
          <w:szCs w:val="24"/>
        </w:rPr>
        <w:t xml:space="preserve"> Les niveaux de participations des deux investisseurs </w:t>
      </w:r>
      <w:r w:rsidR="00AC5764">
        <w:rPr>
          <w:rFonts w:ascii="Arial" w:hAnsi="Arial" w:cs="Arial"/>
          <w:sz w:val="24"/>
          <w:szCs w:val="24"/>
        </w:rPr>
        <w:t xml:space="preserve">– qui </w:t>
      </w:r>
      <w:r w:rsidR="00B9716D">
        <w:rPr>
          <w:rFonts w:ascii="Arial" w:hAnsi="Arial" w:cs="Arial"/>
          <w:sz w:val="24"/>
          <w:szCs w:val="24"/>
        </w:rPr>
        <w:t xml:space="preserve">ne vont jamais dépasser les 30% pour ne pas devoir </w:t>
      </w:r>
      <w:r w:rsidR="0063004A">
        <w:rPr>
          <w:rFonts w:ascii="Arial" w:hAnsi="Arial" w:cs="Arial"/>
          <w:sz w:val="24"/>
          <w:szCs w:val="24"/>
        </w:rPr>
        <w:t xml:space="preserve">lancer </w:t>
      </w:r>
      <w:r w:rsidR="00B9716D">
        <w:rPr>
          <w:rFonts w:ascii="Arial" w:hAnsi="Arial" w:cs="Arial"/>
          <w:sz w:val="24"/>
          <w:szCs w:val="24"/>
        </w:rPr>
        <w:t xml:space="preserve">une offre publique d’achat sur l’ensemble du capital - </w:t>
      </w:r>
      <w:r w:rsidR="00023A7E">
        <w:rPr>
          <w:rFonts w:ascii="Arial" w:hAnsi="Arial" w:cs="Arial"/>
          <w:sz w:val="24"/>
          <w:szCs w:val="24"/>
        </w:rPr>
        <w:t xml:space="preserve">doivent </w:t>
      </w:r>
      <w:r w:rsidR="0038030F">
        <w:rPr>
          <w:rFonts w:ascii="Arial" w:hAnsi="Arial" w:cs="Arial"/>
          <w:sz w:val="24"/>
          <w:szCs w:val="24"/>
        </w:rPr>
        <w:t xml:space="preserve">donc </w:t>
      </w:r>
      <w:r w:rsidR="00023A7E">
        <w:rPr>
          <w:rFonts w:ascii="Arial" w:hAnsi="Arial" w:cs="Arial"/>
          <w:sz w:val="24"/>
          <w:szCs w:val="24"/>
        </w:rPr>
        <w:t>être appréhendés de manière</w:t>
      </w:r>
      <w:r w:rsidR="00E65090">
        <w:rPr>
          <w:rFonts w:ascii="Arial" w:hAnsi="Arial" w:cs="Arial"/>
          <w:sz w:val="24"/>
          <w:szCs w:val="24"/>
        </w:rPr>
        <w:t xml:space="preserve"> </w:t>
      </w:r>
      <w:r w:rsidR="00023A7E">
        <w:rPr>
          <w:rFonts w:ascii="Arial" w:hAnsi="Arial" w:cs="Arial"/>
          <w:sz w:val="24"/>
          <w:szCs w:val="24"/>
        </w:rPr>
        <w:t>agglomérée.</w:t>
      </w:r>
      <w:r w:rsidR="00CD5122">
        <w:rPr>
          <w:rFonts w:ascii="Arial" w:hAnsi="Arial" w:cs="Arial"/>
          <w:sz w:val="24"/>
          <w:szCs w:val="24"/>
        </w:rPr>
        <w:t xml:space="preserve"> Si l</w:t>
      </w:r>
      <w:r w:rsidR="00E65090">
        <w:rPr>
          <w:rFonts w:ascii="Arial" w:hAnsi="Arial" w:cs="Arial"/>
          <w:sz w:val="24"/>
          <w:szCs w:val="24"/>
        </w:rPr>
        <w:t xml:space="preserve">’approche </w:t>
      </w:r>
      <w:r w:rsidR="000C6A34">
        <w:rPr>
          <w:rFonts w:ascii="Arial" w:hAnsi="Arial" w:cs="Arial"/>
          <w:sz w:val="24"/>
          <w:szCs w:val="24"/>
        </w:rPr>
        <w:t xml:space="preserve">de </w:t>
      </w:r>
      <w:proofErr w:type="spellStart"/>
      <w:r w:rsidR="000C6A34">
        <w:rPr>
          <w:rFonts w:ascii="Arial" w:hAnsi="Arial" w:cs="Arial"/>
          <w:sz w:val="24"/>
          <w:szCs w:val="24"/>
        </w:rPr>
        <w:t>Colony</w:t>
      </w:r>
      <w:proofErr w:type="spellEnd"/>
      <w:r w:rsidR="000C6A34">
        <w:rPr>
          <w:rFonts w:ascii="Arial" w:hAnsi="Arial" w:cs="Arial"/>
          <w:sz w:val="24"/>
          <w:szCs w:val="24"/>
        </w:rPr>
        <w:t xml:space="preserve"> Capital était relativement rassurant</w:t>
      </w:r>
      <w:r w:rsidR="00E65090">
        <w:rPr>
          <w:rFonts w:ascii="Arial" w:hAnsi="Arial" w:cs="Arial"/>
          <w:sz w:val="24"/>
          <w:szCs w:val="24"/>
        </w:rPr>
        <w:t>e</w:t>
      </w:r>
      <w:r w:rsidR="000C6A34">
        <w:rPr>
          <w:rFonts w:ascii="Arial" w:hAnsi="Arial" w:cs="Arial"/>
          <w:sz w:val="24"/>
          <w:szCs w:val="24"/>
        </w:rPr>
        <w:t xml:space="preserve"> quant au maintien d’une structure unifiée</w:t>
      </w:r>
      <w:r w:rsidR="00EE7FE6">
        <w:rPr>
          <w:rFonts w:ascii="Arial" w:hAnsi="Arial" w:cs="Arial"/>
          <w:sz w:val="24"/>
          <w:szCs w:val="24"/>
        </w:rPr>
        <w:t xml:space="preserve"> pour le groupe, </w:t>
      </w:r>
      <w:r w:rsidR="007D296F">
        <w:rPr>
          <w:rFonts w:ascii="Arial" w:hAnsi="Arial" w:cs="Arial"/>
          <w:sz w:val="24"/>
          <w:szCs w:val="24"/>
        </w:rPr>
        <w:t>les paradigmes vont se modifier lors de l’immixtion d’</w:t>
      </w:r>
      <w:proofErr w:type="spellStart"/>
      <w:r w:rsidR="007D296F">
        <w:rPr>
          <w:rFonts w:ascii="Arial" w:hAnsi="Arial" w:cs="Arial"/>
          <w:sz w:val="24"/>
          <w:szCs w:val="24"/>
        </w:rPr>
        <w:t>Eurazeo</w:t>
      </w:r>
      <w:proofErr w:type="spellEnd"/>
      <w:r w:rsidR="007D296F">
        <w:rPr>
          <w:rFonts w:ascii="Arial" w:hAnsi="Arial" w:cs="Arial"/>
          <w:sz w:val="24"/>
          <w:szCs w:val="24"/>
        </w:rPr>
        <w:t xml:space="preserve"> dans la structure de propriété en 2007</w:t>
      </w:r>
      <w:r w:rsidR="00B47320">
        <w:rPr>
          <w:rFonts w:ascii="Arial" w:hAnsi="Arial" w:cs="Arial"/>
          <w:sz w:val="24"/>
          <w:szCs w:val="24"/>
        </w:rPr>
        <w:t xml:space="preserve">. </w:t>
      </w:r>
      <w:r w:rsidR="00DE2EE0">
        <w:rPr>
          <w:rFonts w:ascii="Arial" w:hAnsi="Arial" w:cs="Arial"/>
          <w:sz w:val="24"/>
          <w:szCs w:val="24"/>
        </w:rPr>
        <w:t>L’arrivée d’</w:t>
      </w:r>
      <w:proofErr w:type="spellStart"/>
      <w:r w:rsidR="00DE2EE0">
        <w:rPr>
          <w:rFonts w:ascii="Arial" w:hAnsi="Arial" w:cs="Arial"/>
          <w:sz w:val="24"/>
          <w:szCs w:val="24"/>
        </w:rPr>
        <w:t>Eurazeo</w:t>
      </w:r>
      <w:proofErr w:type="spellEnd"/>
      <w:r w:rsidR="00DE2EE0">
        <w:rPr>
          <w:rFonts w:ascii="Arial" w:hAnsi="Arial" w:cs="Arial"/>
          <w:sz w:val="24"/>
          <w:szCs w:val="24"/>
        </w:rPr>
        <w:t xml:space="preserve"> </w:t>
      </w:r>
      <w:r w:rsidR="00467711">
        <w:rPr>
          <w:rFonts w:ascii="Arial" w:hAnsi="Arial" w:cs="Arial"/>
          <w:sz w:val="24"/>
          <w:szCs w:val="24"/>
        </w:rPr>
        <w:t xml:space="preserve">pourrait être comprise comme une manœuvre de </w:t>
      </w:r>
      <w:proofErr w:type="spellStart"/>
      <w:r w:rsidR="00467711">
        <w:rPr>
          <w:rFonts w:ascii="Arial" w:hAnsi="Arial" w:cs="Arial"/>
          <w:sz w:val="24"/>
          <w:szCs w:val="24"/>
        </w:rPr>
        <w:t>Colony</w:t>
      </w:r>
      <w:proofErr w:type="spellEnd"/>
      <w:r w:rsidR="00467711">
        <w:rPr>
          <w:rFonts w:ascii="Arial" w:hAnsi="Arial" w:cs="Arial"/>
          <w:sz w:val="24"/>
          <w:szCs w:val="24"/>
        </w:rPr>
        <w:t xml:space="preserve"> Capital</w:t>
      </w:r>
      <w:r w:rsidR="004D57C4">
        <w:rPr>
          <w:rFonts w:ascii="Arial" w:hAnsi="Arial" w:cs="Arial"/>
          <w:sz w:val="24"/>
          <w:szCs w:val="24"/>
        </w:rPr>
        <w:t xml:space="preserve"> pour obtenir </w:t>
      </w:r>
      <w:r w:rsidR="00042755">
        <w:rPr>
          <w:rFonts w:ascii="Arial" w:hAnsi="Arial" w:cs="Arial"/>
          <w:sz w:val="24"/>
          <w:szCs w:val="24"/>
        </w:rPr>
        <w:t xml:space="preserve">un allié de circonstances </w:t>
      </w:r>
      <w:r w:rsidR="000F7690">
        <w:rPr>
          <w:rFonts w:ascii="Arial" w:hAnsi="Arial" w:cs="Arial"/>
          <w:sz w:val="24"/>
          <w:szCs w:val="24"/>
        </w:rPr>
        <w:t xml:space="preserve">national </w:t>
      </w:r>
      <w:r w:rsidR="00042755">
        <w:rPr>
          <w:rFonts w:ascii="Arial" w:hAnsi="Arial" w:cs="Arial"/>
          <w:sz w:val="24"/>
          <w:szCs w:val="24"/>
        </w:rPr>
        <w:t xml:space="preserve">afin de peser au sein d’un écosystème </w:t>
      </w:r>
      <w:r w:rsidR="00076BE8">
        <w:rPr>
          <w:rFonts w:ascii="Arial" w:hAnsi="Arial" w:cs="Arial"/>
          <w:sz w:val="24"/>
          <w:szCs w:val="24"/>
        </w:rPr>
        <w:t xml:space="preserve">capitalistique </w:t>
      </w:r>
      <w:r w:rsidR="00042755">
        <w:rPr>
          <w:rFonts w:ascii="Arial" w:hAnsi="Arial" w:cs="Arial"/>
          <w:sz w:val="24"/>
          <w:szCs w:val="24"/>
        </w:rPr>
        <w:t xml:space="preserve">qu’il connaît </w:t>
      </w:r>
      <w:r w:rsidR="008B23D2">
        <w:rPr>
          <w:rFonts w:ascii="Arial" w:hAnsi="Arial" w:cs="Arial"/>
          <w:sz w:val="24"/>
          <w:szCs w:val="24"/>
        </w:rPr>
        <w:t>mal</w:t>
      </w:r>
      <w:r w:rsidR="002874C0">
        <w:rPr>
          <w:rFonts w:ascii="Arial" w:hAnsi="Arial" w:cs="Arial"/>
          <w:sz w:val="24"/>
          <w:szCs w:val="24"/>
        </w:rPr>
        <w:t xml:space="preserve">. A noter que la formule de l’agissement de concert a également été retenue pour les participations détenues par </w:t>
      </w:r>
      <w:proofErr w:type="spellStart"/>
      <w:r w:rsidR="002874C0">
        <w:rPr>
          <w:rFonts w:ascii="Arial" w:hAnsi="Arial" w:cs="Arial"/>
          <w:sz w:val="24"/>
          <w:szCs w:val="24"/>
        </w:rPr>
        <w:t>Colony</w:t>
      </w:r>
      <w:proofErr w:type="spellEnd"/>
      <w:r w:rsidR="002874C0">
        <w:rPr>
          <w:rFonts w:ascii="Arial" w:hAnsi="Arial" w:cs="Arial"/>
          <w:sz w:val="24"/>
          <w:szCs w:val="24"/>
        </w:rPr>
        <w:t xml:space="preserve"> Capital et Bernard Arnault au sein de Carrefour.</w:t>
      </w:r>
      <w:r w:rsidR="00937AA3">
        <w:rPr>
          <w:rFonts w:ascii="Arial" w:hAnsi="Arial" w:cs="Arial"/>
          <w:sz w:val="24"/>
          <w:szCs w:val="24"/>
        </w:rPr>
        <w:t xml:space="preserve"> Une autre voie d’explication serait tout</w:t>
      </w:r>
      <w:r w:rsidR="008B23D2">
        <w:rPr>
          <w:rFonts w:ascii="Arial" w:hAnsi="Arial" w:cs="Arial"/>
          <w:sz w:val="24"/>
          <w:szCs w:val="24"/>
        </w:rPr>
        <w:t xml:space="preserve"> simplement</w:t>
      </w:r>
      <w:r w:rsidR="00937AA3">
        <w:rPr>
          <w:rFonts w:ascii="Arial" w:hAnsi="Arial" w:cs="Arial"/>
          <w:sz w:val="24"/>
          <w:szCs w:val="24"/>
        </w:rPr>
        <w:t xml:space="preserve"> qu’</w:t>
      </w:r>
      <w:proofErr w:type="spellStart"/>
      <w:r w:rsidR="008B23D2">
        <w:rPr>
          <w:rFonts w:ascii="Arial" w:hAnsi="Arial" w:cs="Arial"/>
          <w:sz w:val="24"/>
          <w:szCs w:val="24"/>
        </w:rPr>
        <w:t>Eurazeo</w:t>
      </w:r>
      <w:proofErr w:type="spellEnd"/>
      <w:r w:rsidR="008B23D2">
        <w:rPr>
          <w:rFonts w:ascii="Arial" w:hAnsi="Arial" w:cs="Arial"/>
          <w:sz w:val="24"/>
          <w:szCs w:val="24"/>
        </w:rPr>
        <w:t xml:space="preserve">, concurrent </w:t>
      </w:r>
      <w:r w:rsidR="006E521E">
        <w:rPr>
          <w:rFonts w:ascii="Arial" w:hAnsi="Arial" w:cs="Arial"/>
          <w:sz w:val="24"/>
          <w:szCs w:val="24"/>
        </w:rPr>
        <w:t xml:space="preserve">d’ACCOR du fait de sa participation dans </w:t>
      </w:r>
      <w:proofErr w:type="spellStart"/>
      <w:r w:rsidR="006E521E">
        <w:rPr>
          <w:rFonts w:ascii="Arial" w:hAnsi="Arial" w:cs="Arial"/>
          <w:sz w:val="24"/>
          <w:szCs w:val="24"/>
        </w:rPr>
        <w:t>Bed</w:t>
      </w:r>
      <w:r w:rsidR="003E2D3A">
        <w:rPr>
          <w:rFonts w:ascii="Arial" w:hAnsi="Arial" w:cs="Arial"/>
          <w:sz w:val="24"/>
          <w:szCs w:val="24"/>
        </w:rPr>
        <w:t>&amp;Breakfast</w:t>
      </w:r>
      <w:proofErr w:type="spellEnd"/>
      <w:r w:rsidR="00602C17">
        <w:rPr>
          <w:rFonts w:ascii="Arial" w:hAnsi="Arial" w:cs="Arial"/>
          <w:sz w:val="24"/>
          <w:szCs w:val="24"/>
        </w:rPr>
        <w:t xml:space="preserve"> et qui </w:t>
      </w:r>
      <w:r w:rsidR="00076BE8">
        <w:rPr>
          <w:rFonts w:ascii="Arial" w:hAnsi="Arial" w:cs="Arial"/>
          <w:sz w:val="24"/>
          <w:szCs w:val="24"/>
        </w:rPr>
        <w:t xml:space="preserve">vient de </w:t>
      </w:r>
      <w:r w:rsidR="005635EA">
        <w:rPr>
          <w:rFonts w:ascii="Arial" w:hAnsi="Arial" w:cs="Arial"/>
          <w:sz w:val="24"/>
          <w:szCs w:val="24"/>
        </w:rPr>
        <w:t>solder</w:t>
      </w:r>
      <w:r w:rsidR="00076BE8">
        <w:rPr>
          <w:rFonts w:ascii="Arial" w:hAnsi="Arial" w:cs="Arial"/>
          <w:sz w:val="24"/>
          <w:szCs w:val="24"/>
        </w:rPr>
        <w:t xml:space="preserve"> sa p</w:t>
      </w:r>
      <w:r w:rsidR="005635EA">
        <w:rPr>
          <w:rFonts w:ascii="Arial" w:hAnsi="Arial" w:cs="Arial"/>
          <w:sz w:val="24"/>
          <w:szCs w:val="24"/>
        </w:rPr>
        <w:t>osi</w:t>
      </w:r>
      <w:r w:rsidR="00076BE8">
        <w:rPr>
          <w:rFonts w:ascii="Arial" w:hAnsi="Arial" w:cs="Arial"/>
          <w:sz w:val="24"/>
          <w:szCs w:val="24"/>
        </w:rPr>
        <w:t>tion dans Veolia</w:t>
      </w:r>
      <w:r w:rsidR="003E2D3A">
        <w:rPr>
          <w:rFonts w:ascii="Arial" w:hAnsi="Arial" w:cs="Arial"/>
          <w:sz w:val="24"/>
          <w:szCs w:val="24"/>
        </w:rPr>
        <w:t>, v</w:t>
      </w:r>
      <w:r w:rsidR="002F2AA1">
        <w:rPr>
          <w:rFonts w:ascii="Arial" w:hAnsi="Arial" w:cs="Arial"/>
          <w:sz w:val="24"/>
          <w:szCs w:val="24"/>
        </w:rPr>
        <w:t>o</w:t>
      </w:r>
      <w:r w:rsidR="003E2D3A">
        <w:rPr>
          <w:rFonts w:ascii="Arial" w:hAnsi="Arial" w:cs="Arial"/>
          <w:sz w:val="24"/>
          <w:szCs w:val="24"/>
        </w:rPr>
        <w:t>u</w:t>
      </w:r>
      <w:r w:rsidR="002F2AA1">
        <w:rPr>
          <w:rFonts w:ascii="Arial" w:hAnsi="Arial" w:cs="Arial"/>
          <w:sz w:val="24"/>
          <w:szCs w:val="24"/>
        </w:rPr>
        <w:t>drai</w:t>
      </w:r>
      <w:r w:rsidR="003E2D3A">
        <w:rPr>
          <w:rFonts w:ascii="Arial" w:hAnsi="Arial" w:cs="Arial"/>
          <w:sz w:val="24"/>
          <w:szCs w:val="24"/>
        </w:rPr>
        <w:t xml:space="preserve">t participer </w:t>
      </w:r>
      <w:r w:rsidR="00AC5764">
        <w:rPr>
          <w:rFonts w:ascii="Arial" w:hAnsi="Arial" w:cs="Arial"/>
          <w:sz w:val="24"/>
          <w:szCs w:val="24"/>
        </w:rPr>
        <w:t xml:space="preserve">activement </w:t>
      </w:r>
      <w:r w:rsidR="00D862AC">
        <w:rPr>
          <w:rFonts w:ascii="Arial" w:hAnsi="Arial" w:cs="Arial"/>
          <w:sz w:val="24"/>
          <w:szCs w:val="24"/>
        </w:rPr>
        <w:t xml:space="preserve">au mouvement de démembrement de l’entreprise. </w:t>
      </w:r>
      <w:r w:rsidR="00B47320">
        <w:rPr>
          <w:rFonts w:ascii="Arial" w:hAnsi="Arial" w:cs="Arial"/>
          <w:sz w:val="24"/>
          <w:szCs w:val="24"/>
        </w:rPr>
        <w:t>Dans cette optique, l’augmentation importante</w:t>
      </w:r>
      <w:r w:rsidR="004F45AC">
        <w:rPr>
          <w:rFonts w:ascii="Arial" w:hAnsi="Arial" w:cs="Arial"/>
          <w:sz w:val="24"/>
          <w:szCs w:val="24"/>
        </w:rPr>
        <w:t xml:space="preserve"> du capital auto-contrôlé </w:t>
      </w:r>
      <w:r w:rsidR="006D2578">
        <w:rPr>
          <w:rFonts w:ascii="Arial" w:hAnsi="Arial" w:cs="Arial"/>
          <w:sz w:val="24"/>
          <w:szCs w:val="24"/>
        </w:rPr>
        <w:t>à partir de</w:t>
      </w:r>
      <w:r w:rsidR="004F45AC">
        <w:rPr>
          <w:rFonts w:ascii="Arial" w:hAnsi="Arial" w:cs="Arial"/>
          <w:sz w:val="24"/>
          <w:szCs w:val="24"/>
        </w:rPr>
        <w:t xml:space="preserve"> 2007 n’est </w:t>
      </w:r>
      <w:r w:rsidR="00865AE5">
        <w:rPr>
          <w:rFonts w:ascii="Arial" w:hAnsi="Arial" w:cs="Arial"/>
          <w:sz w:val="24"/>
          <w:szCs w:val="24"/>
        </w:rPr>
        <w:t xml:space="preserve">certainement </w:t>
      </w:r>
      <w:r w:rsidR="004F45AC">
        <w:rPr>
          <w:rFonts w:ascii="Arial" w:hAnsi="Arial" w:cs="Arial"/>
          <w:sz w:val="24"/>
          <w:szCs w:val="24"/>
        </w:rPr>
        <w:t>pas anodine e</w:t>
      </w:r>
      <w:r w:rsidR="00193F70">
        <w:rPr>
          <w:rFonts w:ascii="Arial" w:hAnsi="Arial" w:cs="Arial"/>
          <w:sz w:val="24"/>
          <w:szCs w:val="24"/>
        </w:rPr>
        <w:t>t vise</w:t>
      </w:r>
      <w:r w:rsidR="00012A53">
        <w:rPr>
          <w:rFonts w:ascii="Arial" w:hAnsi="Arial" w:cs="Arial"/>
          <w:sz w:val="24"/>
          <w:szCs w:val="24"/>
        </w:rPr>
        <w:t>rait</w:t>
      </w:r>
      <w:r w:rsidR="00193F70">
        <w:rPr>
          <w:rFonts w:ascii="Arial" w:hAnsi="Arial" w:cs="Arial"/>
          <w:sz w:val="24"/>
          <w:szCs w:val="24"/>
        </w:rPr>
        <w:t xml:space="preserve"> à </w:t>
      </w:r>
      <w:r w:rsidR="004F45AC">
        <w:rPr>
          <w:rFonts w:ascii="Arial" w:hAnsi="Arial" w:cs="Arial"/>
          <w:sz w:val="24"/>
          <w:szCs w:val="24"/>
        </w:rPr>
        <w:t>essayer de contrer les velléités activistes des deux institutionnels.</w:t>
      </w:r>
      <w:r w:rsidR="00576566">
        <w:rPr>
          <w:rFonts w:ascii="Arial" w:hAnsi="Arial" w:cs="Arial"/>
          <w:sz w:val="24"/>
          <w:szCs w:val="24"/>
        </w:rPr>
        <w:t xml:space="preserve"> </w:t>
      </w:r>
    </w:p>
    <w:p w14:paraId="530D862F" w14:textId="1A55A852" w:rsidR="00CD064E" w:rsidRPr="00CD064E" w:rsidRDefault="00CD064E" w:rsidP="003A79DA">
      <w:pPr>
        <w:spacing w:line="240" w:lineRule="auto"/>
        <w:ind w:left="720"/>
        <w:jc w:val="both"/>
        <w:rPr>
          <w:rFonts w:ascii="Arial" w:hAnsi="Arial" w:cs="Arial"/>
          <w:sz w:val="24"/>
          <w:szCs w:val="24"/>
          <w:u w:val="single"/>
        </w:rPr>
      </w:pPr>
      <w:r w:rsidRPr="00CD064E">
        <w:rPr>
          <w:rFonts w:ascii="Arial" w:hAnsi="Arial" w:cs="Arial"/>
          <w:sz w:val="24"/>
          <w:szCs w:val="24"/>
          <w:u w:val="single"/>
        </w:rPr>
        <w:t>Tableau 1 :</w:t>
      </w:r>
      <w:r w:rsidRPr="00CD064E">
        <w:rPr>
          <w:rFonts w:ascii="Arial" w:hAnsi="Arial" w:cs="Arial"/>
          <w:sz w:val="24"/>
          <w:szCs w:val="24"/>
          <w:u w:val="single"/>
        </w:rPr>
        <w:tab/>
        <w:t>Evolution de la structure de propriété du groupe ACCOR</w:t>
      </w:r>
    </w:p>
    <w:tbl>
      <w:tblPr>
        <w:tblStyle w:val="TableauGrille4-Accentuation3"/>
        <w:tblW w:w="8840" w:type="dxa"/>
        <w:tblLook w:val="04A0" w:firstRow="1" w:lastRow="0" w:firstColumn="1" w:lastColumn="0" w:noHBand="0" w:noVBand="1"/>
      </w:tblPr>
      <w:tblGrid>
        <w:gridCol w:w="2340"/>
        <w:gridCol w:w="700"/>
        <w:gridCol w:w="760"/>
        <w:gridCol w:w="680"/>
        <w:gridCol w:w="760"/>
        <w:gridCol w:w="780"/>
        <w:gridCol w:w="740"/>
        <w:gridCol w:w="780"/>
        <w:gridCol w:w="700"/>
        <w:gridCol w:w="672"/>
      </w:tblGrid>
      <w:tr w:rsidR="00614C6E" w:rsidRPr="00417290" w14:paraId="0610B22E" w14:textId="77777777" w:rsidTr="000746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386D35A" w14:textId="42D5D54D" w:rsidR="00417290" w:rsidRPr="00225B69" w:rsidRDefault="00CD064E" w:rsidP="00417290">
            <w:pPr>
              <w:rPr>
                <w:rFonts w:ascii="Times New Roman" w:eastAsia="Times New Roman" w:hAnsi="Times New Roman" w:cs="Times New Roman"/>
                <w:sz w:val="20"/>
                <w:szCs w:val="20"/>
                <w:lang w:eastAsia="fr-BE"/>
              </w:rPr>
            </w:pPr>
            <w:r w:rsidRPr="00225B69">
              <w:rPr>
                <w:rFonts w:ascii="Times New Roman" w:eastAsia="Times New Roman" w:hAnsi="Times New Roman" w:cs="Times New Roman"/>
                <w:sz w:val="20"/>
                <w:szCs w:val="20"/>
                <w:lang w:eastAsia="fr-BE"/>
              </w:rPr>
              <w:t>Actionnaires</w:t>
            </w:r>
          </w:p>
        </w:tc>
        <w:tc>
          <w:tcPr>
            <w:tcW w:w="700" w:type="dxa"/>
            <w:noWrap/>
            <w:hideMark/>
          </w:tcPr>
          <w:p w14:paraId="766707DF" w14:textId="77777777" w:rsidR="00417290" w:rsidRPr="00225B69" w:rsidRDefault="00417290" w:rsidP="0041729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2003</w:t>
            </w:r>
          </w:p>
        </w:tc>
        <w:tc>
          <w:tcPr>
            <w:tcW w:w="760" w:type="dxa"/>
            <w:noWrap/>
            <w:hideMark/>
          </w:tcPr>
          <w:p w14:paraId="69A5F098" w14:textId="77777777" w:rsidR="00417290" w:rsidRPr="00225B69" w:rsidRDefault="00417290" w:rsidP="0041729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2004</w:t>
            </w:r>
          </w:p>
        </w:tc>
        <w:tc>
          <w:tcPr>
            <w:tcW w:w="680" w:type="dxa"/>
            <w:noWrap/>
            <w:hideMark/>
          </w:tcPr>
          <w:p w14:paraId="1E0BD75B" w14:textId="77777777" w:rsidR="00417290" w:rsidRPr="00225B69" w:rsidRDefault="00417290" w:rsidP="0041729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2005</w:t>
            </w:r>
          </w:p>
        </w:tc>
        <w:tc>
          <w:tcPr>
            <w:tcW w:w="760" w:type="dxa"/>
            <w:noWrap/>
            <w:hideMark/>
          </w:tcPr>
          <w:p w14:paraId="47517342" w14:textId="77777777" w:rsidR="00417290" w:rsidRPr="00225B69" w:rsidRDefault="00417290" w:rsidP="0041729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2006</w:t>
            </w:r>
          </w:p>
        </w:tc>
        <w:tc>
          <w:tcPr>
            <w:tcW w:w="780" w:type="dxa"/>
            <w:noWrap/>
            <w:hideMark/>
          </w:tcPr>
          <w:p w14:paraId="1ABF8378" w14:textId="77777777" w:rsidR="00417290" w:rsidRPr="00225B69" w:rsidRDefault="00417290" w:rsidP="0041729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2007</w:t>
            </w:r>
          </w:p>
        </w:tc>
        <w:tc>
          <w:tcPr>
            <w:tcW w:w="740" w:type="dxa"/>
            <w:noWrap/>
            <w:hideMark/>
          </w:tcPr>
          <w:p w14:paraId="402359ED" w14:textId="77777777" w:rsidR="00417290" w:rsidRPr="00225B69" w:rsidRDefault="00417290" w:rsidP="0041729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2008</w:t>
            </w:r>
          </w:p>
        </w:tc>
        <w:tc>
          <w:tcPr>
            <w:tcW w:w="780" w:type="dxa"/>
            <w:noWrap/>
            <w:hideMark/>
          </w:tcPr>
          <w:p w14:paraId="273DAFF1" w14:textId="77777777" w:rsidR="00417290" w:rsidRPr="00225B69" w:rsidRDefault="00417290" w:rsidP="0041729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2009</w:t>
            </w:r>
          </w:p>
        </w:tc>
        <w:tc>
          <w:tcPr>
            <w:tcW w:w="700" w:type="dxa"/>
            <w:noWrap/>
            <w:hideMark/>
          </w:tcPr>
          <w:p w14:paraId="04937809" w14:textId="77777777" w:rsidR="00417290" w:rsidRPr="00225B69" w:rsidRDefault="00417290" w:rsidP="0041729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2010</w:t>
            </w:r>
          </w:p>
        </w:tc>
        <w:tc>
          <w:tcPr>
            <w:tcW w:w="600" w:type="dxa"/>
            <w:noWrap/>
            <w:hideMark/>
          </w:tcPr>
          <w:p w14:paraId="2870AFB0" w14:textId="77777777" w:rsidR="00417290" w:rsidRPr="00225B69" w:rsidRDefault="00417290" w:rsidP="0041729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2011</w:t>
            </w:r>
          </w:p>
        </w:tc>
      </w:tr>
      <w:tr w:rsidR="00614C6E" w:rsidRPr="00417290" w14:paraId="776F1D5A" w14:textId="77777777" w:rsidTr="00074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9904DE0" w14:textId="77777777" w:rsidR="00417290" w:rsidRPr="00225B69" w:rsidRDefault="00417290" w:rsidP="00417290">
            <w:pPr>
              <w:rPr>
                <w:rFonts w:ascii="Calibri" w:eastAsia="Times New Roman" w:hAnsi="Calibri" w:cs="Calibri"/>
                <w:color w:val="000000"/>
                <w:sz w:val="20"/>
                <w:szCs w:val="20"/>
                <w:lang w:eastAsia="fr-BE"/>
              </w:rPr>
            </w:pPr>
            <w:proofErr w:type="spellStart"/>
            <w:r w:rsidRPr="00225B69">
              <w:rPr>
                <w:rFonts w:ascii="Calibri" w:eastAsia="Times New Roman" w:hAnsi="Calibri" w:cs="Calibri"/>
                <w:color w:val="000000"/>
                <w:sz w:val="20"/>
                <w:szCs w:val="20"/>
                <w:lang w:eastAsia="fr-BE"/>
              </w:rPr>
              <w:t>Colony</w:t>
            </w:r>
            <w:proofErr w:type="spellEnd"/>
            <w:r w:rsidRPr="00225B69">
              <w:rPr>
                <w:rFonts w:ascii="Calibri" w:eastAsia="Times New Roman" w:hAnsi="Calibri" w:cs="Calibri"/>
                <w:color w:val="000000"/>
                <w:sz w:val="20"/>
                <w:szCs w:val="20"/>
                <w:lang w:eastAsia="fr-BE"/>
              </w:rPr>
              <w:t xml:space="preserve"> </w:t>
            </w:r>
            <w:r w:rsidRPr="00225B69">
              <w:rPr>
                <w:rFonts w:ascii="Arial" w:eastAsia="Times New Roman" w:hAnsi="Arial" w:cs="Arial"/>
                <w:color w:val="000000"/>
                <w:sz w:val="20"/>
                <w:szCs w:val="20"/>
                <w:lang w:eastAsia="fr-BE"/>
              </w:rPr>
              <w:t>Capital</w:t>
            </w:r>
          </w:p>
        </w:tc>
        <w:tc>
          <w:tcPr>
            <w:tcW w:w="700" w:type="dxa"/>
            <w:noWrap/>
            <w:hideMark/>
          </w:tcPr>
          <w:p w14:paraId="400868EF"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p>
        </w:tc>
        <w:tc>
          <w:tcPr>
            <w:tcW w:w="760" w:type="dxa"/>
            <w:noWrap/>
            <w:hideMark/>
          </w:tcPr>
          <w:p w14:paraId="1DAE7B82"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0,087</w:t>
            </w:r>
          </w:p>
        </w:tc>
        <w:tc>
          <w:tcPr>
            <w:tcW w:w="680" w:type="dxa"/>
            <w:noWrap/>
            <w:hideMark/>
          </w:tcPr>
          <w:p w14:paraId="49C4E62B"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0,087</w:t>
            </w:r>
          </w:p>
        </w:tc>
        <w:tc>
          <w:tcPr>
            <w:tcW w:w="760" w:type="dxa"/>
            <w:noWrap/>
            <w:hideMark/>
          </w:tcPr>
          <w:p w14:paraId="21BEE573"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0,088</w:t>
            </w:r>
          </w:p>
        </w:tc>
        <w:tc>
          <w:tcPr>
            <w:tcW w:w="780" w:type="dxa"/>
            <w:noWrap/>
            <w:hideMark/>
          </w:tcPr>
          <w:p w14:paraId="337540D9"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0,1066</w:t>
            </w:r>
          </w:p>
        </w:tc>
        <w:tc>
          <w:tcPr>
            <w:tcW w:w="740" w:type="dxa"/>
            <w:noWrap/>
            <w:hideMark/>
          </w:tcPr>
          <w:p w14:paraId="34459708"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0,12</w:t>
            </w:r>
          </w:p>
        </w:tc>
        <w:tc>
          <w:tcPr>
            <w:tcW w:w="780" w:type="dxa"/>
            <w:noWrap/>
            <w:hideMark/>
          </w:tcPr>
          <w:p w14:paraId="6CBFCB58"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p>
        </w:tc>
        <w:tc>
          <w:tcPr>
            <w:tcW w:w="700" w:type="dxa"/>
            <w:noWrap/>
            <w:hideMark/>
          </w:tcPr>
          <w:p w14:paraId="14E8ED13"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BE"/>
              </w:rPr>
            </w:pPr>
          </w:p>
        </w:tc>
        <w:tc>
          <w:tcPr>
            <w:tcW w:w="600" w:type="dxa"/>
            <w:noWrap/>
            <w:hideMark/>
          </w:tcPr>
          <w:p w14:paraId="46DBC05A"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BE"/>
              </w:rPr>
            </w:pPr>
          </w:p>
        </w:tc>
      </w:tr>
      <w:tr w:rsidR="002675BD" w:rsidRPr="00417290" w14:paraId="100A0A4D" w14:textId="77777777" w:rsidTr="0007468D">
        <w:trPr>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CC5EBAB" w14:textId="77777777" w:rsidR="00417290" w:rsidRPr="00225B69" w:rsidRDefault="00417290" w:rsidP="00417290">
            <w:pPr>
              <w:rPr>
                <w:rFonts w:ascii="Calibri" w:eastAsia="Times New Roman" w:hAnsi="Calibri" w:cs="Calibri"/>
                <w:color w:val="000000"/>
                <w:sz w:val="20"/>
                <w:szCs w:val="20"/>
                <w:lang w:eastAsia="fr-BE"/>
              </w:rPr>
            </w:pPr>
            <w:proofErr w:type="spellStart"/>
            <w:r w:rsidRPr="00225B69">
              <w:rPr>
                <w:rFonts w:ascii="Calibri" w:eastAsia="Times New Roman" w:hAnsi="Calibri" w:cs="Calibri"/>
                <w:color w:val="000000"/>
                <w:sz w:val="20"/>
                <w:szCs w:val="20"/>
                <w:lang w:eastAsia="fr-BE"/>
              </w:rPr>
              <w:t>Eurazeo</w:t>
            </w:r>
            <w:proofErr w:type="spellEnd"/>
          </w:p>
        </w:tc>
        <w:tc>
          <w:tcPr>
            <w:tcW w:w="700" w:type="dxa"/>
            <w:noWrap/>
            <w:hideMark/>
          </w:tcPr>
          <w:p w14:paraId="4FEF0791" w14:textId="77777777" w:rsidR="00417290" w:rsidRPr="00225B69" w:rsidRDefault="00417290" w:rsidP="0041729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p>
        </w:tc>
        <w:tc>
          <w:tcPr>
            <w:tcW w:w="760" w:type="dxa"/>
            <w:noWrap/>
            <w:hideMark/>
          </w:tcPr>
          <w:p w14:paraId="200216AD" w14:textId="77777777" w:rsidR="00417290" w:rsidRPr="00225B69" w:rsidRDefault="00417290" w:rsidP="004172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BE"/>
              </w:rPr>
            </w:pPr>
          </w:p>
        </w:tc>
        <w:tc>
          <w:tcPr>
            <w:tcW w:w="680" w:type="dxa"/>
            <w:noWrap/>
            <w:hideMark/>
          </w:tcPr>
          <w:p w14:paraId="0B2CABE4" w14:textId="77777777" w:rsidR="00417290" w:rsidRPr="00225B69" w:rsidRDefault="00417290" w:rsidP="004172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BE"/>
              </w:rPr>
            </w:pPr>
          </w:p>
        </w:tc>
        <w:tc>
          <w:tcPr>
            <w:tcW w:w="760" w:type="dxa"/>
            <w:noWrap/>
            <w:hideMark/>
          </w:tcPr>
          <w:p w14:paraId="4BCAF06A" w14:textId="77777777" w:rsidR="00417290" w:rsidRPr="00225B69" w:rsidRDefault="00417290" w:rsidP="004172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BE"/>
              </w:rPr>
            </w:pPr>
          </w:p>
        </w:tc>
        <w:tc>
          <w:tcPr>
            <w:tcW w:w="780" w:type="dxa"/>
            <w:noWrap/>
            <w:hideMark/>
          </w:tcPr>
          <w:p w14:paraId="43760140"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0,104</w:t>
            </w:r>
          </w:p>
        </w:tc>
        <w:tc>
          <w:tcPr>
            <w:tcW w:w="740" w:type="dxa"/>
            <w:noWrap/>
            <w:hideMark/>
          </w:tcPr>
          <w:p w14:paraId="211ADFED"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0,1</w:t>
            </w:r>
          </w:p>
        </w:tc>
        <w:tc>
          <w:tcPr>
            <w:tcW w:w="780" w:type="dxa"/>
            <w:noWrap/>
            <w:hideMark/>
          </w:tcPr>
          <w:p w14:paraId="1F0D3B40"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p>
        </w:tc>
        <w:tc>
          <w:tcPr>
            <w:tcW w:w="700" w:type="dxa"/>
            <w:noWrap/>
            <w:hideMark/>
          </w:tcPr>
          <w:p w14:paraId="59A6C9E9" w14:textId="77777777" w:rsidR="00417290" w:rsidRPr="00225B69" w:rsidRDefault="00417290" w:rsidP="004172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BE"/>
              </w:rPr>
            </w:pPr>
          </w:p>
        </w:tc>
        <w:tc>
          <w:tcPr>
            <w:tcW w:w="600" w:type="dxa"/>
            <w:noWrap/>
            <w:hideMark/>
          </w:tcPr>
          <w:p w14:paraId="6E9CCA4E" w14:textId="77777777" w:rsidR="00417290" w:rsidRPr="00225B69" w:rsidRDefault="00417290" w:rsidP="004172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BE"/>
              </w:rPr>
            </w:pPr>
          </w:p>
        </w:tc>
      </w:tr>
      <w:tr w:rsidR="00614C6E" w:rsidRPr="00417290" w14:paraId="2F9AD6F8" w14:textId="77777777" w:rsidTr="00074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C39D81A" w14:textId="77777777" w:rsidR="00417290" w:rsidRPr="00225B69" w:rsidRDefault="00417290" w:rsidP="00417290">
            <w:pPr>
              <w:rPr>
                <w:rFonts w:ascii="Calibri" w:eastAsia="Times New Roman" w:hAnsi="Calibri" w:cs="Calibri"/>
                <w:color w:val="000000"/>
                <w:sz w:val="20"/>
                <w:szCs w:val="20"/>
                <w:lang w:eastAsia="fr-BE"/>
              </w:rPr>
            </w:pPr>
            <w:proofErr w:type="spellStart"/>
            <w:r w:rsidRPr="00225B69">
              <w:rPr>
                <w:rFonts w:ascii="Calibri" w:eastAsia="Times New Roman" w:hAnsi="Calibri" w:cs="Calibri"/>
                <w:color w:val="000000"/>
                <w:sz w:val="20"/>
                <w:szCs w:val="20"/>
                <w:lang w:eastAsia="fr-BE"/>
              </w:rPr>
              <w:t>Colony</w:t>
            </w:r>
            <w:proofErr w:type="spellEnd"/>
            <w:r w:rsidRPr="00225B69">
              <w:rPr>
                <w:rFonts w:ascii="Calibri" w:eastAsia="Times New Roman" w:hAnsi="Calibri" w:cs="Calibri"/>
                <w:color w:val="000000"/>
                <w:sz w:val="20"/>
                <w:szCs w:val="20"/>
                <w:lang w:eastAsia="fr-BE"/>
              </w:rPr>
              <w:t xml:space="preserve"> Capital + </w:t>
            </w:r>
            <w:proofErr w:type="spellStart"/>
            <w:r w:rsidRPr="00225B69">
              <w:rPr>
                <w:rFonts w:ascii="Calibri" w:eastAsia="Times New Roman" w:hAnsi="Calibri" w:cs="Calibri"/>
                <w:color w:val="000000"/>
                <w:sz w:val="20"/>
                <w:szCs w:val="20"/>
                <w:lang w:eastAsia="fr-BE"/>
              </w:rPr>
              <w:t>Eurazeo</w:t>
            </w:r>
            <w:proofErr w:type="spellEnd"/>
          </w:p>
        </w:tc>
        <w:tc>
          <w:tcPr>
            <w:tcW w:w="700" w:type="dxa"/>
            <w:noWrap/>
            <w:hideMark/>
          </w:tcPr>
          <w:p w14:paraId="02245D21"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p>
        </w:tc>
        <w:tc>
          <w:tcPr>
            <w:tcW w:w="760" w:type="dxa"/>
            <w:noWrap/>
            <w:hideMark/>
          </w:tcPr>
          <w:p w14:paraId="48155BE2"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BE"/>
              </w:rPr>
            </w:pPr>
          </w:p>
        </w:tc>
        <w:tc>
          <w:tcPr>
            <w:tcW w:w="680" w:type="dxa"/>
            <w:noWrap/>
            <w:hideMark/>
          </w:tcPr>
          <w:p w14:paraId="7672BCF9"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BE"/>
              </w:rPr>
            </w:pPr>
          </w:p>
        </w:tc>
        <w:tc>
          <w:tcPr>
            <w:tcW w:w="760" w:type="dxa"/>
            <w:noWrap/>
            <w:hideMark/>
          </w:tcPr>
          <w:p w14:paraId="2AC8A56D"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BE"/>
              </w:rPr>
            </w:pPr>
          </w:p>
        </w:tc>
        <w:tc>
          <w:tcPr>
            <w:tcW w:w="780" w:type="dxa"/>
            <w:noWrap/>
            <w:hideMark/>
          </w:tcPr>
          <w:p w14:paraId="6E7F21EF"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BE"/>
              </w:rPr>
            </w:pPr>
          </w:p>
        </w:tc>
        <w:tc>
          <w:tcPr>
            <w:tcW w:w="740" w:type="dxa"/>
            <w:noWrap/>
            <w:hideMark/>
          </w:tcPr>
          <w:p w14:paraId="1E45B7C6"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BE"/>
              </w:rPr>
            </w:pPr>
          </w:p>
        </w:tc>
        <w:tc>
          <w:tcPr>
            <w:tcW w:w="780" w:type="dxa"/>
            <w:noWrap/>
            <w:hideMark/>
          </w:tcPr>
          <w:p w14:paraId="73A7FAC6"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0,292</w:t>
            </w:r>
          </w:p>
        </w:tc>
        <w:tc>
          <w:tcPr>
            <w:tcW w:w="700" w:type="dxa"/>
            <w:noWrap/>
            <w:hideMark/>
          </w:tcPr>
          <w:p w14:paraId="0E4C6196"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0,273</w:t>
            </w:r>
          </w:p>
        </w:tc>
        <w:tc>
          <w:tcPr>
            <w:tcW w:w="600" w:type="dxa"/>
            <w:noWrap/>
            <w:hideMark/>
          </w:tcPr>
          <w:p w14:paraId="23488173"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0,277</w:t>
            </w:r>
          </w:p>
        </w:tc>
      </w:tr>
      <w:tr w:rsidR="002675BD" w:rsidRPr="00417290" w14:paraId="7261A84B" w14:textId="77777777" w:rsidTr="0007468D">
        <w:trPr>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235B8CA" w14:textId="77777777" w:rsidR="00417290" w:rsidRPr="00225B69" w:rsidRDefault="00417290" w:rsidP="00417290">
            <w:pPr>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CDC</w:t>
            </w:r>
          </w:p>
        </w:tc>
        <w:tc>
          <w:tcPr>
            <w:tcW w:w="700" w:type="dxa"/>
            <w:noWrap/>
            <w:hideMark/>
          </w:tcPr>
          <w:p w14:paraId="41FF0F46"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0,045</w:t>
            </w:r>
          </w:p>
        </w:tc>
        <w:tc>
          <w:tcPr>
            <w:tcW w:w="760" w:type="dxa"/>
            <w:noWrap/>
            <w:hideMark/>
          </w:tcPr>
          <w:p w14:paraId="70F9CDDD"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0,076</w:t>
            </w:r>
          </w:p>
        </w:tc>
        <w:tc>
          <w:tcPr>
            <w:tcW w:w="680" w:type="dxa"/>
            <w:noWrap/>
            <w:hideMark/>
          </w:tcPr>
          <w:p w14:paraId="3A5B8488"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0,086</w:t>
            </w:r>
          </w:p>
        </w:tc>
        <w:tc>
          <w:tcPr>
            <w:tcW w:w="760" w:type="dxa"/>
            <w:noWrap/>
            <w:hideMark/>
          </w:tcPr>
          <w:p w14:paraId="63F828F3"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0,076</w:t>
            </w:r>
          </w:p>
        </w:tc>
        <w:tc>
          <w:tcPr>
            <w:tcW w:w="780" w:type="dxa"/>
            <w:noWrap/>
            <w:hideMark/>
          </w:tcPr>
          <w:p w14:paraId="4247E06C"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0,0813</w:t>
            </w:r>
          </w:p>
        </w:tc>
        <w:tc>
          <w:tcPr>
            <w:tcW w:w="740" w:type="dxa"/>
            <w:noWrap/>
            <w:hideMark/>
          </w:tcPr>
          <w:p w14:paraId="5A796986"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0,08</w:t>
            </w:r>
          </w:p>
        </w:tc>
        <w:tc>
          <w:tcPr>
            <w:tcW w:w="780" w:type="dxa"/>
            <w:noWrap/>
            <w:hideMark/>
          </w:tcPr>
          <w:p w14:paraId="7ED20ECB"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0,0128</w:t>
            </w:r>
          </w:p>
        </w:tc>
        <w:tc>
          <w:tcPr>
            <w:tcW w:w="700" w:type="dxa"/>
            <w:noWrap/>
            <w:hideMark/>
          </w:tcPr>
          <w:p w14:paraId="5B8E8F22"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p>
        </w:tc>
        <w:tc>
          <w:tcPr>
            <w:tcW w:w="600" w:type="dxa"/>
            <w:noWrap/>
            <w:hideMark/>
          </w:tcPr>
          <w:p w14:paraId="07160244" w14:textId="77777777" w:rsidR="00417290" w:rsidRPr="00225B69" w:rsidRDefault="00417290" w:rsidP="004172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BE"/>
              </w:rPr>
            </w:pPr>
          </w:p>
        </w:tc>
      </w:tr>
      <w:tr w:rsidR="00614C6E" w:rsidRPr="00417290" w14:paraId="1920A84F" w14:textId="77777777" w:rsidTr="00074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7822AED" w14:textId="77777777" w:rsidR="00417290" w:rsidRPr="00225B69" w:rsidRDefault="00417290" w:rsidP="00417290">
            <w:pPr>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Société Générale</w:t>
            </w:r>
          </w:p>
        </w:tc>
        <w:tc>
          <w:tcPr>
            <w:tcW w:w="700" w:type="dxa"/>
            <w:noWrap/>
            <w:hideMark/>
          </w:tcPr>
          <w:p w14:paraId="47B58C4E"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0,021</w:t>
            </w:r>
          </w:p>
        </w:tc>
        <w:tc>
          <w:tcPr>
            <w:tcW w:w="760" w:type="dxa"/>
            <w:noWrap/>
            <w:hideMark/>
          </w:tcPr>
          <w:p w14:paraId="1AD46DBF"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0,017</w:t>
            </w:r>
          </w:p>
        </w:tc>
        <w:tc>
          <w:tcPr>
            <w:tcW w:w="680" w:type="dxa"/>
            <w:noWrap/>
            <w:hideMark/>
          </w:tcPr>
          <w:p w14:paraId="6282F0F5"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0,016</w:t>
            </w:r>
          </w:p>
        </w:tc>
        <w:tc>
          <w:tcPr>
            <w:tcW w:w="760" w:type="dxa"/>
            <w:noWrap/>
            <w:hideMark/>
          </w:tcPr>
          <w:p w14:paraId="5462C629"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0,017</w:t>
            </w:r>
          </w:p>
        </w:tc>
        <w:tc>
          <w:tcPr>
            <w:tcW w:w="780" w:type="dxa"/>
            <w:noWrap/>
            <w:hideMark/>
          </w:tcPr>
          <w:p w14:paraId="6C5906F5"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0,0147</w:t>
            </w:r>
          </w:p>
        </w:tc>
        <w:tc>
          <w:tcPr>
            <w:tcW w:w="740" w:type="dxa"/>
            <w:noWrap/>
            <w:hideMark/>
          </w:tcPr>
          <w:p w14:paraId="2E6CCCB5"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0,01</w:t>
            </w:r>
          </w:p>
        </w:tc>
        <w:tc>
          <w:tcPr>
            <w:tcW w:w="780" w:type="dxa"/>
            <w:noWrap/>
            <w:hideMark/>
          </w:tcPr>
          <w:p w14:paraId="1EF5FE38"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p>
        </w:tc>
        <w:tc>
          <w:tcPr>
            <w:tcW w:w="700" w:type="dxa"/>
            <w:noWrap/>
            <w:hideMark/>
          </w:tcPr>
          <w:p w14:paraId="5E26623D"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BE"/>
              </w:rPr>
            </w:pPr>
          </w:p>
        </w:tc>
        <w:tc>
          <w:tcPr>
            <w:tcW w:w="600" w:type="dxa"/>
            <w:noWrap/>
            <w:hideMark/>
          </w:tcPr>
          <w:p w14:paraId="0193AB56"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BE"/>
              </w:rPr>
            </w:pPr>
          </w:p>
        </w:tc>
      </w:tr>
      <w:tr w:rsidR="002675BD" w:rsidRPr="00417290" w14:paraId="6797C3A3" w14:textId="77777777" w:rsidTr="0007468D">
        <w:trPr>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4E59CAB" w14:textId="77777777" w:rsidR="00417290" w:rsidRPr="00225B69" w:rsidRDefault="00417290" w:rsidP="00417290">
            <w:pPr>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BNP Paribas</w:t>
            </w:r>
          </w:p>
        </w:tc>
        <w:tc>
          <w:tcPr>
            <w:tcW w:w="700" w:type="dxa"/>
            <w:noWrap/>
            <w:hideMark/>
          </w:tcPr>
          <w:p w14:paraId="47B8136A"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0,006</w:t>
            </w:r>
          </w:p>
        </w:tc>
        <w:tc>
          <w:tcPr>
            <w:tcW w:w="760" w:type="dxa"/>
            <w:noWrap/>
            <w:hideMark/>
          </w:tcPr>
          <w:p w14:paraId="7BCDB00B"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0,006</w:t>
            </w:r>
          </w:p>
        </w:tc>
        <w:tc>
          <w:tcPr>
            <w:tcW w:w="680" w:type="dxa"/>
            <w:noWrap/>
            <w:hideMark/>
          </w:tcPr>
          <w:p w14:paraId="1CE79920"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0,006</w:t>
            </w:r>
          </w:p>
        </w:tc>
        <w:tc>
          <w:tcPr>
            <w:tcW w:w="760" w:type="dxa"/>
            <w:noWrap/>
            <w:hideMark/>
          </w:tcPr>
          <w:p w14:paraId="7BEA0F4D"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0,006</w:t>
            </w:r>
          </w:p>
        </w:tc>
        <w:tc>
          <w:tcPr>
            <w:tcW w:w="780" w:type="dxa"/>
            <w:noWrap/>
            <w:hideMark/>
          </w:tcPr>
          <w:p w14:paraId="5D5A0364"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0,0053</w:t>
            </w:r>
          </w:p>
        </w:tc>
        <w:tc>
          <w:tcPr>
            <w:tcW w:w="740" w:type="dxa"/>
            <w:noWrap/>
            <w:hideMark/>
          </w:tcPr>
          <w:p w14:paraId="61410E6F"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0,01</w:t>
            </w:r>
          </w:p>
        </w:tc>
        <w:tc>
          <w:tcPr>
            <w:tcW w:w="780" w:type="dxa"/>
            <w:noWrap/>
            <w:hideMark/>
          </w:tcPr>
          <w:p w14:paraId="17D3A2E0"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p>
        </w:tc>
        <w:tc>
          <w:tcPr>
            <w:tcW w:w="700" w:type="dxa"/>
            <w:noWrap/>
            <w:hideMark/>
          </w:tcPr>
          <w:p w14:paraId="2D1C2A17" w14:textId="77777777" w:rsidR="00417290" w:rsidRPr="00225B69" w:rsidRDefault="00417290" w:rsidP="004172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BE"/>
              </w:rPr>
            </w:pPr>
          </w:p>
        </w:tc>
        <w:tc>
          <w:tcPr>
            <w:tcW w:w="600" w:type="dxa"/>
            <w:noWrap/>
            <w:hideMark/>
          </w:tcPr>
          <w:p w14:paraId="2C878F78" w14:textId="77777777" w:rsidR="00417290" w:rsidRPr="00225B69" w:rsidRDefault="00417290" w:rsidP="0041729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BE"/>
              </w:rPr>
            </w:pPr>
          </w:p>
        </w:tc>
      </w:tr>
      <w:tr w:rsidR="00614C6E" w:rsidRPr="00417290" w14:paraId="0DD42DFC" w14:textId="77777777" w:rsidTr="00074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4392446" w14:textId="77777777" w:rsidR="00417290" w:rsidRPr="00225B69" w:rsidRDefault="00417290" w:rsidP="00417290">
            <w:pPr>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Auto-contrôle</w:t>
            </w:r>
          </w:p>
        </w:tc>
        <w:tc>
          <w:tcPr>
            <w:tcW w:w="700" w:type="dxa"/>
            <w:noWrap/>
            <w:hideMark/>
          </w:tcPr>
          <w:p w14:paraId="5F316606"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p>
        </w:tc>
        <w:tc>
          <w:tcPr>
            <w:tcW w:w="760" w:type="dxa"/>
            <w:noWrap/>
            <w:hideMark/>
          </w:tcPr>
          <w:p w14:paraId="0523D0CC"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0,007</w:t>
            </w:r>
          </w:p>
        </w:tc>
        <w:tc>
          <w:tcPr>
            <w:tcW w:w="680" w:type="dxa"/>
            <w:noWrap/>
            <w:hideMark/>
          </w:tcPr>
          <w:p w14:paraId="4A0DC2B4"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0,007</w:t>
            </w:r>
          </w:p>
        </w:tc>
        <w:tc>
          <w:tcPr>
            <w:tcW w:w="760" w:type="dxa"/>
            <w:noWrap/>
            <w:hideMark/>
          </w:tcPr>
          <w:p w14:paraId="0CF34DC2"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0,007</w:t>
            </w:r>
          </w:p>
        </w:tc>
        <w:tc>
          <w:tcPr>
            <w:tcW w:w="780" w:type="dxa"/>
            <w:noWrap/>
            <w:hideMark/>
          </w:tcPr>
          <w:p w14:paraId="6CFAC133"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0,0365</w:t>
            </w:r>
          </w:p>
        </w:tc>
        <w:tc>
          <w:tcPr>
            <w:tcW w:w="740" w:type="dxa"/>
            <w:noWrap/>
            <w:hideMark/>
          </w:tcPr>
          <w:p w14:paraId="6AD2A46E"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0,04</w:t>
            </w:r>
          </w:p>
        </w:tc>
        <w:tc>
          <w:tcPr>
            <w:tcW w:w="780" w:type="dxa"/>
            <w:noWrap/>
            <w:hideMark/>
          </w:tcPr>
          <w:p w14:paraId="2DFB072C"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p>
        </w:tc>
        <w:tc>
          <w:tcPr>
            <w:tcW w:w="700" w:type="dxa"/>
            <w:noWrap/>
            <w:hideMark/>
          </w:tcPr>
          <w:p w14:paraId="124EFC87"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BE"/>
              </w:rPr>
            </w:pPr>
          </w:p>
        </w:tc>
        <w:tc>
          <w:tcPr>
            <w:tcW w:w="600" w:type="dxa"/>
            <w:noWrap/>
            <w:hideMark/>
          </w:tcPr>
          <w:p w14:paraId="7B3A7CD7" w14:textId="77777777" w:rsidR="00417290" w:rsidRPr="00225B69" w:rsidRDefault="00417290" w:rsidP="004172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BE"/>
              </w:rPr>
            </w:pPr>
          </w:p>
        </w:tc>
      </w:tr>
      <w:tr w:rsidR="002675BD" w:rsidRPr="00417290" w14:paraId="057DE02D" w14:textId="77777777" w:rsidTr="0007468D">
        <w:trPr>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FF4C2FD" w14:textId="77777777" w:rsidR="00417290" w:rsidRPr="00225B69" w:rsidRDefault="00417290" w:rsidP="00417290">
            <w:pPr>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Fondateurs</w:t>
            </w:r>
          </w:p>
        </w:tc>
        <w:tc>
          <w:tcPr>
            <w:tcW w:w="700" w:type="dxa"/>
            <w:noWrap/>
            <w:hideMark/>
          </w:tcPr>
          <w:p w14:paraId="0BE91E5C"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0,037</w:t>
            </w:r>
          </w:p>
        </w:tc>
        <w:tc>
          <w:tcPr>
            <w:tcW w:w="760" w:type="dxa"/>
            <w:noWrap/>
            <w:hideMark/>
          </w:tcPr>
          <w:p w14:paraId="093E569D"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0,035</w:t>
            </w:r>
          </w:p>
        </w:tc>
        <w:tc>
          <w:tcPr>
            <w:tcW w:w="680" w:type="dxa"/>
            <w:noWrap/>
            <w:hideMark/>
          </w:tcPr>
          <w:p w14:paraId="378D7870"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0,033</w:t>
            </w:r>
          </w:p>
        </w:tc>
        <w:tc>
          <w:tcPr>
            <w:tcW w:w="760" w:type="dxa"/>
            <w:noWrap/>
            <w:hideMark/>
          </w:tcPr>
          <w:p w14:paraId="49522B64"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0,035</w:t>
            </w:r>
          </w:p>
        </w:tc>
        <w:tc>
          <w:tcPr>
            <w:tcW w:w="780" w:type="dxa"/>
            <w:noWrap/>
            <w:hideMark/>
          </w:tcPr>
          <w:p w14:paraId="705778D6"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0,0264</w:t>
            </w:r>
          </w:p>
        </w:tc>
        <w:tc>
          <w:tcPr>
            <w:tcW w:w="740" w:type="dxa"/>
            <w:noWrap/>
            <w:hideMark/>
          </w:tcPr>
          <w:p w14:paraId="66C39DF4"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0,03</w:t>
            </w:r>
          </w:p>
        </w:tc>
        <w:tc>
          <w:tcPr>
            <w:tcW w:w="780" w:type="dxa"/>
            <w:noWrap/>
            <w:hideMark/>
          </w:tcPr>
          <w:p w14:paraId="798F8F5A"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0,027</w:t>
            </w:r>
          </w:p>
        </w:tc>
        <w:tc>
          <w:tcPr>
            <w:tcW w:w="700" w:type="dxa"/>
            <w:noWrap/>
            <w:hideMark/>
          </w:tcPr>
          <w:p w14:paraId="137B5740"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0,02</w:t>
            </w:r>
          </w:p>
        </w:tc>
        <w:tc>
          <w:tcPr>
            <w:tcW w:w="600" w:type="dxa"/>
            <w:noWrap/>
            <w:hideMark/>
          </w:tcPr>
          <w:p w14:paraId="7DCEE6EC" w14:textId="77777777" w:rsidR="00417290" w:rsidRPr="00225B69" w:rsidRDefault="00417290" w:rsidP="0041729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0,027</w:t>
            </w:r>
          </w:p>
        </w:tc>
      </w:tr>
      <w:tr w:rsidR="00614C6E" w:rsidRPr="00417290" w14:paraId="3D690A55" w14:textId="77777777" w:rsidTr="00074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90DDC50" w14:textId="77777777" w:rsidR="00417290" w:rsidRPr="00225B69" w:rsidRDefault="00417290" w:rsidP="00417290">
            <w:pPr>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Flottant</w:t>
            </w:r>
          </w:p>
        </w:tc>
        <w:tc>
          <w:tcPr>
            <w:tcW w:w="700" w:type="dxa"/>
            <w:noWrap/>
            <w:hideMark/>
          </w:tcPr>
          <w:p w14:paraId="33C9CB38"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0,891</w:t>
            </w:r>
          </w:p>
        </w:tc>
        <w:tc>
          <w:tcPr>
            <w:tcW w:w="760" w:type="dxa"/>
            <w:noWrap/>
            <w:hideMark/>
          </w:tcPr>
          <w:p w14:paraId="5F85FB3C"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0,772</w:t>
            </w:r>
          </w:p>
        </w:tc>
        <w:tc>
          <w:tcPr>
            <w:tcW w:w="680" w:type="dxa"/>
            <w:noWrap/>
            <w:hideMark/>
          </w:tcPr>
          <w:p w14:paraId="3204091C"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0,765</w:t>
            </w:r>
          </w:p>
        </w:tc>
        <w:tc>
          <w:tcPr>
            <w:tcW w:w="760" w:type="dxa"/>
            <w:noWrap/>
            <w:hideMark/>
          </w:tcPr>
          <w:p w14:paraId="5FDE489E"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0,771</w:t>
            </w:r>
          </w:p>
        </w:tc>
        <w:tc>
          <w:tcPr>
            <w:tcW w:w="780" w:type="dxa"/>
            <w:noWrap/>
            <w:hideMark/>
          </w:tcPr>
          <w:p w14:paraId="6D94C03E"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0,6252</w:t>
            </w:r>
          </w:p>
        </w:tc>
        <w:tc>
          <w:tcPr>
            <w:tcW w:w="740" w:type="dxa"/>
            <w:noWrap/>
            <w:hideMark/>
          </w:tcPr>
          <w:p w14:paraId="7EA00B79"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0,61</w:t>
            </w:r>
          </w:p>
        </w:tc>
        <w:tc>
          <w:tcPr>
            <w:tcW w:w="780" w:type="dxa"/>
            <w:noWrap/>
            <w:hideMark/>
          </w:tcPr>
          <w:p w14:paraId="5CE51206"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0,6682</w:t>
            </w:r>
          </w:p>
        </w:tc>
        <w:tc>
          <w:tcPr>
            <w:tcW w:w="700" w:type="dxa"/>
            <w:noWrap/>
            <w:hideMark/>
          </w:tcPr>
          <w:p w14:paraId="5AF14DC4"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0,707</w:t>
            </w:r>
          </w:p>
        </w:tc>
        <w:tc>
          <w:tcPr>
            <w:tcW w:w="600" w:type="dxa"/>
            <w:noWrap/>
            <w:hideMark/>
          </w:tcPr>
          <w:p w14:paraId="76412D05" w14:textId="77777777" w:rsidR="00417290" w:rsidRPr="00225B69" w:rsidRDefault="00417290" w:rsidP="0041729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BE"/>
              </w:rPr>
            </w:pPr>
            <w:r w:rsidRPr="00225B69">
              <w:rPr>
                <w:rFonts w:ascii="Calibri" w:eastAsia="Times New Roman" w:hAnsi="Calibri" w:cs="Calibri"/>
                <w:color w:val="000000"/>
                <w:sz w:val="20"/>
                <w:szCs w:val="20"/>
                <w:lang w:eastAsia="fr-BE"/>
              </w:rPr>
              <w:t>0,696</w:t>
            </w:r>
          </w:p>
        </w:tc>
      </w:tr>
    </w:tbl>
    <w:p w14:paraId="389FB7E7" w14:textId="77777777" w:rsidR="001A372D" w:rsidRDefault="001A372D" w:rsidP="003A79DA">
      <w:pPr>
        <w:spacing w:line="240" w:lineRule="auto"/>
        <w:ind w:left="720"/>
        <w:jc w:val="both"/>
        <w:rPr>
          <w:rFonts w:ascii="Arial" w:hAnsi="Arial" w:cs="Arial"/>
          <w:sz w:val="24"/>
          <w:szCs w:val="24"/>
        </w:rPr>
      </w:pPr>
    </w:p>
    <w:p w14:paraId="285FD38C" w14:textId="6B1F375A" w:rsidR="0035543A" w:rsidRDefault="00EC339B" w:rsidP="003A79DA">
      <w:pPr>
        <w:spacing w:line="240" w:lineRule="auto"/>
        <w:ind w:left="720"/>
        <w:jc w:val="both"/>
        <w:rPr>
          <w:rFonts w:ascii="Arial" w:hAnsi="Arial" w:cs="Arial"/>
          <w:sz w:val="24"/>
          <w:szCs w:val="24"/>
        </w:rPr>
      </w:pPr>
      <w:r>
        <w:rPr>
          <w:rFonts w:ascii="Arial" w:hAnsi="Arial" w:cs="Arial"/>
          <w:sz w:val="24"/>
          <w:szCs w:val="24"/>
        </w:rPr>
        <w:t>Pour ce qui</w:t>
      </w:r>
      <w:r w:rsidR="00773CA9">
        <w:rPr>
          <w:rFonts w:ascii="Arial" w:hAnsi="Arial" w:cs="Arial"/>
          <w:sz w:val="24"/>
          <w:szCs w:val="24"/>
        </w:rPr>
        <w:t xml:space="preserve"> de la gouvernance</w:t>
      </w:r>
      <w:r w:rsidR="007A69A6">
        <w:rPr>
          <w:rFonts w:ascii="Arial" w:hAnsi="Arial" w:cs="Arial"/>
          <w:sz w:val="24"/>
          <w:szCs w:val="24"/>
        </w:rPr>
        <w:t xml:space="preserve"> et de la direction du groupe, </w:t>
      </w:r>
      <w:proofErr w:type="spellStart"/>
      <w:r w:rsidR="007A7706">
        <w:rPr>
          <w:rFonts w:ascii="Arial" w:hAnsi="Arial" w:cs="Arial"/>
          <w:sz w:val="24"/>
          <w:szCs w:val="24"/>
        </w:rPr>
        <w:t>Colony</w:t>
      </w:r>
      <w:proofErr w:type="spellEnd"/>
      <w:r w:rsidR="007A7706">
        <w:rPr>
          <w:rFonts w:ascii="Arial" w:hAnsi="Arial" w:cs="Arial"/>
          <w:sz w:val="24"/>
          <w:szCs w:val="24"/>
        </w:rPr>
        <w:t xml:space="preserve"> Capital est représenté au Conseil d’Administration </w:t>
      </w:r>
      <w:r w:rsidR="007C4CA1">
        <w:rPr>
          <w:rFonts w:ascii="Arial" w:hAnsi="Arial" w:cs="Arial"/>
          <w:sz w:val="24"/>
          <w:szCs w:val="24"/>
        </w:rPr>
        <w:t xml:space="preserve">(16 membres) </w:t>
      </w:r>
      <w:r w:rsidR="007A7706">
        <w:rPr>
          <w:rFonts w:ascii="Arial" w:hAnsi="Arial" w:cs="Arial"/>
          <w:sz w:val="24"/>
          <w:szCs w:val="24"/>
        </w:rPr>
        <w:t>par Sébastien Ba</w:t>
      </w:r>
      <w:r w:rsidR="007A2C72">
        <w:rPr>
          <w:rFonts w:ascii="Arial" w:hAnsi="Arial" w:cs="Arial"/>
          <w:sz w:val="24"/>
          <w:szCs w:val="24"/>
        </w:rPr>
        <w:t xml:space="preserve">zin et </w:t>
      </w:r>
      <w:r w:rsidR="00844549">
        <w:rPr>
          <w:rFonts w:ascii="Arial" w:hAnsi="Arial" w:cs="Arial"/>
          <w:sz w:val="24"/>
          <w:szCs w:val="24"/>
        </w:rPr>
        <w:t xml:space="preserve">Thomas </w:t>
      </w:r>
      <w:proofErr w:type="spellStart"/>
      <w:r w:rsidR="007A2C72">
        <w:rPr>
          <w:rFonts w:ascii="Arial" w:hAnsi="Arial" w:cs="Arial"/>
          <w:sz w:val="24"/>
          <w:szCs w:val="24"/>
        </w:rPr>
        <w:t>Barrack</w:t>
      </w:r>
      <w:proofErr w:type="spellEnd"/>
      <w:r w:rsidR="007A2C72">
        <w:rPr>
          <w:rFonts w:ascii="Arial" w:hAnsi="Arial" w:cs="Arial"/>
          <w:sz w:val="24"/>
          <w:szCs w:val="24"/>
        </w:rPr>
        <w:t>, respectivement</w:t>
      </w:r>
      <w:r w:rsidR="00844549">
        <w:rPr>
          <w:rFonts w:ascii="Arial" w:hAnsi="Arial" w:cs="Arial"/>
          <w:sz w:val="24"/>
          <w:szCs w:val="24"/>
        </w:rPr>
        <w:t xml:space="preserve"> Directeur Général</w:t>
      </w:r>
      <w:r w:rsidR="00B418FB">
        <w:rPr>
          <w:rFonts w:ascii="Arial" w:hAnsi="Arial" w:cs="Arial"/>
          <w:sz w:val="24"/>
          <w:szCs w:val="24"/>
        </w:rPr>
        <w:t xml:space="preserve"> (responsable de la zone Europe) et </w:t>
      </w:r>
      <w:r w:rsidR="00673D5D">
        <w:rPr>
          <w:rFonts w:ascii="Arial" w:hAnsi="Arial" w:cs="Arial"/>
          <w:sz w:val="24"/>
          <w:szCs w:val="24"/>
        </w:rPr>
        <w:t xml:space="preserve">Président </w:t>
      </w:r>
      <w:r w:rsidR="0030324B">
        <w:rPr>
          <w:rFonts w:ascii="Arial" w:hAnsi="Arial" w:cs="Arial"/>
          <w:sz w:val="24"/>
          <w:szCs w:val="24"/>
        </w:rPr>
        <w:t>Directeur Général (</w:t>
      </w:r>
      <w:r w:rsidR="00B418FB">
        <w:rPr>
          <w:rFonts w:ascii="Arial" w:hAnsi="Arial" w:cs="Arial"/>
          <w:sz w:val="24"/>
          <w:szCs w:val="24"/>
        </w:rPr>
        <w:t>fondateur</w:t>
      </w:r>
      <w:r w:rsidR="0030324B">
        <w:rPr>
          <w:rFonts w:ascii="Arial" w:hAnsi="Arial" w:cs="Arial"/>
          <w:sz w:val="24"/>
          <w:szCs w:val="24"/>
        </w:rPr>
        <w:t>)</w:t>
      </w:r>
      <w:r w:rsidR="00E622C0">
        <w:rPr>
          <w:rFonts w:ascii="Arial" w:hAnsi="Arial" w:cs="Arial"/>
          <w:sz w:val="24"/>
          <w:szCs w:val="24"/>
        </w:rPr>
        <w:t xml:space="preserve"> du fonds</w:t>
      </w:r>
      <w:r w:rsidR="0030324B">
        <w:rPr>
          <w:rFonts w:ascii="Arial" w:hAnsi="Arial" w:cs="Arial"/>
          <w:sz w:val="24"/>
          <w:szCs w:val="24"/>
        </w:rPr>
        <w:t>.</w:t>
      </w:r>
      <w:r w:rsidR="00781AEE">
        <w:rPr>
          <w:rFonts w:ascii="Arial" w:hAnsi="Arial" w:cs="Arial"/>
          <w:sz w:val="24"/>
          <w:szCs w:val="24"/>
        </w:rPr>
        <w:t xml:space="preserve"> En </w:t>
      </w:r>
      <w:r w:rsidR="009D2EB5">
        <w:rPr>
          <w:rFonts w:ascii="Arial" w:hAnsi="Arial" w:cs="Arial"/>
          <w:sz w:val="24"/>
          <w:szCs w:val="24"/>
        </w:rPr>
        <w:t xml:space="preserve">août </w:t>
      </w:r>
      <w:r w:rsidR="00781AEE">
        <w:rPr>
          <w:rFonts w:ascii="Arial" w:hAnsi="Arial" w:cs="Arial"/>
          <w:sz w:val="24"/>
          <w:szCs w:val="24"/>
        </w:rPr>
        <w:t xml:space="preserve">2008, </w:t>
      </w:r>
      <w:r w:rsidR="009D2EB5">
        <w:rPr>
          <w:rFonts w:ascii="Arial" w:hAnsi="Arial" w:cs="Arial"/>
          <w:sz w:val="24"/>
          <w:szCs w:val="24"/>
        </w:rPr>
        <w:t>à la suite de</w:t>
      </w:r>
      <w:r w:rsidR="00781AEE">
        <w:rPr>
          <w:rFonts w:ascii="Arial" w:hAnsi="Arial" w:cs="Arial"/>
          <w:sz w:val="24"/>
          <w:szCs w:val="24"/>
        </w:rPr>
        <w:t xml:space="preserve"> la montée d’</w:t>
      </w:r>
      <w:proofErr w:type="spellStart"/>
      <w:r w:rsidR="00781AEE">
        <w:rPr>
          <w:rFonts w:ascii="Arial" w:hAnsi="Arial" w:cs="Arial"/>
          <w:sz w:val="24"/>
          <w:szCs w:val="24"/>
        </w:rPr>
        <w:t>Eurazeo</w:t>
      </w:r>
      <w:proofErr w:type="spellEnd"/>
      <w:r w:rsidR="00781AEE">
        <w:rPr>
          <w:rFonts w:ascii="Arial" w:hAnsi="Arial" w:cs="Arial"/>
          <w:sz w:val="24"/>
          <w:szCs w:val="24"/>
        </w:rPr>
        <w:t xml:space="preserve"> dans le capital, Patrick </w:t>
      </w:r>
      <w:proofErr w:type="spellStart"/>
      <w:r w:rsidR="00781AEE">
        <w:rPr>
          <w:rFonts w:ascii="Arial" w:hAnsi="Arial" w:cs="Arial"/>
          <w:sz w:val="24"/>
          <w:szCs w:val="24"/>
        </w:rPr>
        <w:t>Sayer</w:t>
      </w:r>
      <w:proofErr w:type="spellEnd"/>
      <w:r w:rsidR="00781AEE">
        <w:rPr>
          <w:rFonts w:ascii="Arial" w:hAnsi="Arial" w:cs="Arial"/>
          <w:sz w:val="24"/>
          <w:szCs w:val="24"/>
        </w:rPr>
        <w:t xml:space="preserve"> (alors </w:t>
      </w:r>
      <w:r w:rsidR="00372AA7">
        <w:rPr>
          <w:rFonts w:ascii="Arial" w:hAnsi="Arial" w:cs="Arial"/>
          <w:sz w:val="24"/>
          <w:szCs w:val="24"/>
        </w:rPr>
        <w:t xml:space="preserve">Président </w:t>
      </w:r>
      <w:r w:rsidR="00372AA7">
        <w:rPr>
          <w:rFonts w:ascii="Arial" w:hAnsi="Arial" w:cs="Arial"/>
          <w:sz w:val="24"/>
          <w:szCs w:val="24"/>
        </w:rPr>
        <w:lastRenderedPageBreak/>
        <w:t xml:space="preserve">du </w:t>
      </w:r>
      <w:r w:rsidR="00372AA7" w:rsidRPr="00372AA7">
        <w:rPr>
          <w:rFonts w:ascii="Arial" w:hAnsi="Arial" w:cs="Arial"/>
          <w:sz w:val="24"/>
          <w:szCs w:val="24"/>
        </w:rPr>
        <w:t>Directoire d’</w:t>
      </w:r>
      <w:proofErr w:type="spellStart"/>
      <w:r w:rsidR="00372AA7" w:rsidRPr="00372AA7">
        <w:rPr>
          <w:rFonts w:ascii="Arial" w:hAnsi="Arial" w:cs="Arial"/>
          <w:sz w:val="24"/>
          <w:szCs w:val="24"/>
        </w:rPr>
        <w:t>Eurazeo</w:t>
      </w:r>
      <w:proofErr w:type="spellEnd"/>
      <w:r w:rsidR="00372AA7">
        <w:rPr>
          <w:rFonts w:ascii="Arial" w:hAnsi="Arial" w:cs="Arial"/>
          <w:sz w:val="24"/>
          <w:szCs w:val="24"/>
        </w:rPr>
        <w:t>)</w:t>
      </w:r>
      <w:r w:rsidR="00DC2C51">
        <w:rPr>
          <w:rFonts w:ascii="Arial" w:hAnsi="Arial" w:cs="Arial"/>
          <w:sz w:val="24"/>
          <w:szCs w:val="24"/>
        </w:rPr>
        <w:t xml:space="preserve"> va également intégrer le Conseil d’Administration. </w:t>
      </w:r>
      <w:r w:rsidR="009F6444">
        <w:rPr>
          <w:rFonts w:ascii="Arial" w:hAnsi="Arial" w:cs="Arial"/>
          <w:sz w:val="24"/>
          <w:szCs w:val="24"/>
        </w:rPr>
        <w:t>Ces propos</w:t>
      </w:r>
      <w:r w:rsidR="009D2EB5">
        <w:rPr>
          <w:rFonts w:ascii="Arial" w:hAnsi="Arial" w:cs="Arial"/>
          <w:sz w:val="24"/>
          <w:szCs w:val="24"/>
        </w:rPr>
        <w:t xml:space="preserve"> </w:t>
      </w:r>
      <w:r w:rsidR="00D90FCC">
        <w:rPr>
          <w:rFonts w:ascii="Arial" w:hAnsi="Arial" w:cs="Arial"/>
          <w:sz w:val="24"/>
          <w:szCs w:val="24"/>
        </w:rPr>
        <w:t>relatifs au manque de</w:t>
      </w:r>
      <w:r w:rsidR="00D90FCC" w:rsidRPr="00D90FCC">
        <w:rPr>
          <w:rFonts w:ascii="Arial" w:hAnsi="Arial" w:cs="Arial"/>
          <w:sz w:val="24"/>
          <w:szCs w:val="24"/>
        </w:rPr>
        <w:t xml:space="preserve"> synergies entre les hôtels et les services </w:t>
      </w:r>
      <w:r w:rsidR="009D2EB5">
        <w:rPr>
          <w:rFonts w:ascii="Arial" w:hAnsi="Arial" w:cs="Arial"/>
          <w:sz w:val="24"/>
          <w:szCs w:val="24"/>
        </w:rPr>
        <w:t>lors de son intronisation</w:t>
      </w:r>
      <w:r w:rsidR="004470E5">
        <w:rPr>
          <w:rFonts w:ascii="Arial" w:hAnsi="Arial" w:cs="Arial"/>
          <w:sz w:val="24"/>
          <w:szCs w:val="24"/>
        </w:rPr>
        <w:t xml:space="preserve"> </w:t>
      </w:r>
      <w:r w:rsidR="00804E0E">
        <w:rPr>
          <w:rFonts w:ascii="Arial" w:hAnsi="Arial" w:cs="Arial"/>
          <w:sz w:val="24"/>
          <w:szCs w:val="24"/>
        </w:rPr>
        <w:t>sont</w:t>
      </w:r>
      <w:r w:rsidR="00156AD6">
        <w:rPr>
          <w:rFonts w:ascii="Arial" w:hAnsi="Arial" w:cs="Arial"/>
          <w:sz w:val="24"/>
          <w:szCs w:val="24"/>
        </w:rPr>
        <w:t>, avec le recul,</w:t>
      </w:r>
      <w:r w:rsidR="00804E0E">
        <w:rPr>
          <w:rFonts w:ascii="Arial" w:hAnsi="Arial" w:cs="Arial"/>
          <w:sz w:val="24"/>
          <w:szCs w:val="24"/>
        </w:rPr>
        <w:t xml:space="preserve"> considérés comme l’élément discursif déclencheur de la scission du groupe.</w:t>
      </w:r>
      <w:r w:rsidR="009D2EB5">
        <w:rPr>
          <w:rFonts w:ascii="Arial" w:hAnsi="Arial" w:cs="Arial"/>
          <w:sz w:val="24"/>
          <w:szCs w:val="24"/>
        </w:rPr>
        <w:t xml:space="preserve"> </w:t>
      </w:r>
      <w:r w:rsidR="00156AD6">
        <w:rPr>
          <w:rFonts w:ascii="Arial" w:hAnsi="Arial" w:cs="Arial"/>
          <w:sz w:val="24"/>
          <w:szCs w:val="24"/>
        </w:rPr>
        <w:t>La présence de Fran</w:t>
      </w:r>
      <w:r w:rsidR="00950C0E">
        <w:rPr>
          <w:rFonts w:ascii="Arial" w:hAnsi="Arial" w:cs="Arial"/>
          <w:sz w:val="24"/>
          <w:szCs w:val="24"/>
        </w:rPr>
        <w:t>c</w:t>
      </w:r>
      <w:r w:rsidR="00156AD6">
        <w:rPr>
          <w:rFonts w:ascii="Arial" w:hAnsi="Arial" w:cs="Arial"/>
          <w:sz w:val="24"/>
          <w:szCs w:val="24"/>
        </w:rPr>
        <w:t>k Riboud</w:t>
      </w:r>
      <w:r w:rsidR="00B26DF5">
        <w:rPr>
          <w:rFonts w:ascii="Arial" w:hAnsi="Arial" w:cs="Arial"/>
          <w:sz w:val="24"/>
          <w:szCs w:val="24"/>
        </w:rPr>
        <w:t xml:space="preserve"> dans le Conseil</w:t>
      </w:r>
      <w:r w:rsidR="00950C0E">
        <w:rPr>
          <w:rFonts w:ascii="Arial" w:hAnsi="Arial" w:cs="Arial"/>
          <w:sz w:val="24"/>
          <w:szCs w:val="24"/>
        </w:rPr>
        <w:t xml:space="preserve">, alors </w:t>
      </w:r>
      <w:r w:rsidR="00B26DF5">
        <w:rPr>
          <w:rFonts w:ascii="Arial" w:hAnsi="Arial" w:cs="Arial"/>
          <w:sz w:val="24"/>
          <w:szCs w:val="24"/>
        </w:rPr>
        <w:t xml:space="preserve">qu’il présidait Danone </w:t>
      </w:r>
      <w:r w:rsidR="00FE119C">
        <w:rPr>
          <w:rFonts w:ascii="Arial" w:hAnsi="Arial" w:cs="Arial"/>
          <w:sz w:val="24"/>
          <w:szCs w:val="24"/>
        </w:rPr>
        <w:t>–</w:t>
      </w:r>
      <w:r w:rsidR="00B26DF5">
        <w:rPr>
          <w:rFonts w:ascii="Arial" w:hAnsi="Arial" w:cs="Arial"/>
          <w:sz w:val="24"/>
          <w:szCs w:val="24"/>
        </w:rPr>
        <w:t xml:space="preserve"> partielleme</w:t>
      </w:r>
      <w:r w:rsidR="00FE119C">
        <w:rPr>
          <w:rFonts w:ascii="Arial" w:hAnsi="Arial" w:cs="Arial"/>
          <w:sz w:val="24"/>
          <w:szCs w:val="24"/>
        </w:rPr>
        <w:t xml:space="preserve">nt détenu par </w:t>
      </w:r>
      <w:proofErr w:type="spellStart"/>
      <w:r w:rsidR="00FE119C">
        <w:rPr>
          <w:rFonts w:ascii="Arial" w:hAnsi="Arial" w:cs="Arial"/>
          <w:sz w:val="24"/>
          <w:szCs w:val="24"/>
        </w:rPr>
        <w:t>Eurazeo</w:t>
      </w:r>
      <w:proofErr w:type="spellEnd"/>
      <w:r w:rsidR="00FE119C">
        <w:rPr>
          <w:rFonts w:ascii="Arial" w:hAnsi="Arial" w:cs="Arial"/>
          <w:sz w:val="24"/>
          <w:szCs w:val="24"/>
        </w:rPr>
        <w:t xml:space="preserve"> à cet</w:t>
      </w:r>
      <w:r w:rsidR="007F4887">
        <w:rPr>
          <w:rFonts w:ascii="Arial" w:hAnsi="Arial" w:cs="Arial"/>
          <w:sz w:val="24"/>
          <w:szCs w:val="24"/>
        </w:rPr>
        <w:t>te</w:t>
      </w:r>
      <w:r w:rsidR="00FE119C">
        <w:rPr>
          <w:rFonts w:ascii="Arial" w:hAnsi="Arial" w:cs="Arial"/>
          <w:sz w:val="24"/>
          <w:szCs w:val="24"/>
        </w:rPr>
        <w:t xml:space="preserve"> époque-là – jette </w:t>
      </w:r>
      <w:r w:rsidR="007F4887">
        <w:rPr>
          <w:rFonts w:ascii="Arial" w:hAnsi="Arial" w:cs="Arial"/>
          <w:sz w:val="24"/>
          <w:szCs w:val="24"/>
        </w:rPr>
        <w:t xml:space="preserve">également </w:t>
      </w:r>
      <w:r w:rsidR="00FE119C">
        <w:rPr>
          <w:rFonts w:ascii="Arial" w:hAnsi="Arial" w:cs="Arial"/>
          <w:sz w:val="24"/>
          <w:szCs w:val="24"/>
        </w:rPr>
        <w:t xml:space="preserve">le </w:t>
      </w:r>
      <w:r w:rsidR="00417F89">
        <w:rPr>
          <w:rFonts w:ascii="Arial" w:hAnsi="Arial" w:cs="Arial"/>
          <w:sz w:val="24"/>
          <w:szCs w:val="24"/>
        </w:rPr>
        <w:t>trouble</w:t>
      </w:r>
      <w:r w:rsidR="00FE119C">
        <w:rPr>
          <w:rFonts w:ascii="Arial" w:hAnsi="Arial" w:cs="Arial"/>
          <w:sz w:val="24"/>
          <w:szCs w:val="24"/>
        </w:rPr>
        <w:t xml:space="preserve"> sur la réelle indépendance de la gouvernance</w:t>
      </w:r>
      <w:r w:rsidR="00D36320">
        <w:rPr>
          <w:rFonts w:ascii="Arial" w:hAnsi="Arial" w:cs="Arial"/>
          <w:sz w:val="24"/>
          <w:szCs w:val="24"/>
        </w:rPr>
        <w:t>.</w:t>
      </w:r>
    </w:p>
    <w:p w14:paraId="04975321" w14:textId="7B806FCE" w:rsidR="00DD42D1" w:rsidRDefault="00D11C10" w:rsidP="000962F9">
      <w:pPr>
        <w:spacing w:line="240" w:lineRule="auto"/>
        <w:ind w:left="720"/>
        <w:jc w:val="both"/>
        <w:rPr>
          <w:rFonts w:ascii="Arial" w:hAnsi="Arial" w:cs="Arial"/>
          <w:sz w:val="24"/>
          <w:szCs w:val="24"/>
        </w:rPr>
      </w:pPr>
      <w:r>
        <w:rPr>
          <w:rFonts w:ascii="Arial" w:hAnsi="Arial" w:cs="Arial"/>
          <w:sz w:val="24"/>
          <w:szCs w:val="24"/>
        </w:rPr>
        <w:t xml:space="preserve">Dès son arrivée en 2006, Gilles Pélisson abandonne la formule de gouvernance Directoire et Conseil de Surveillance pour revenir à la solution du Conseil d’Administration (qui avait été utilisée jusqu’en 1997), entérinant le retrait des deux fondateurs de l’entreprise. </w:t>
      </w:r>
      <w:r w:rsidR="008B6FE7">
        <w:rPr>
          <w:rFonts w:ascii="Arial" w:hAnsi="Arial" w:cs="Arial"/>
          <w:sz w:val="24"/>
          <w:szCs w:val="24"/>
        </w:rPr>
        <w:t>Au niveau de la direction, alors que la nomination de Gilles Pélisson en 2006</w:t>
      </w:r>
      <w:r w:rsidR="00FC7D58">
        <w:rPr>
          <w:rFonts w:ascii="Arial" w:hAnsi="Arial" w:cs="Arial"/>
          <w:sz w:val="24"/>
          <w:szCs w:val="24"/>
        </w:rPr>
        <w:t xml:space="preserve"> (neveu du fondateur) pouvait être assimilée à un essai de perpétuation du business model du groupe</w:t>
      </w:r>
      <w:r w:rsidR="00AD3447">
        <w:rPr>
          <w:rFonts w:ascii="Arial" w:hAnsi="Arial" w:cs="Arial"/>
          <w:sz w:val="24"/>
          <w:szCs w:val="24"/>
        </w:rPr>
        <w:t xml:space="preserve"> </w:t>
      </w:r>
      <w:proofErr w:type="gramStart"/>
      <w:r w:rsidR="00AD3447" w:rsidRPr="00AD3447">
        <w:rPr>
          <w:rFonts w:ascii="Arial" w:hAnsi="Arial" w:cs="Arial"/>
          <w:sz w:val="24"/>
          <w:szCs w:val="24"/>
        </w:rPr>
        <w:t>(«</w:t>
      </w:r>
      <w:r w:rsidR="00AD3447" w:rsidRPr="00AD3447">
        <w:rPr>
          <w:rFonts w:ascii="Arial" w:hAnsi="Arial" w:cs="Arial"/>
          <w:i/>
          <w:iCs/>
          <w:sz w:val="24"/>
          <w:szCs w:val="24"/>
        </w:rPr>
        <w:t>Accor</w:t>
      </w:r>
      <w:proofErr w:type="gramEnd"/>
      <w:r w:rsidR="00AD3447" w:rsidRPr="00AD3447">
        <w:rPr>
          <w:rFonts w:ascii="Arial" w:hAnsi="Arial" w:cs="Arial"/>
          <w:i/>
          <w:iCs/>
          <w:sz w:val="24"/>
          <w:szCs w:val="24"/>
        </w:rPr>
        <w:t xml:space="preserve"> doit marcher sur ses deux jambes</w:t>
      </w:r>
      <w:r w:rsidR="00AD3447" w:rsidRPr="00AD3447">
        <w:rPr>
          <w:rFonts w:ascii="Arial" w:hAnsi="Arial" w:cs="Arial"/>
          <w:sz w:val="24"/>
          <w:szCs w:val="24"/>
        </w:rPr>
        <w:t>», Gilles Pélisson, 2006</w:t>
      </w:r>
      <w:r w:rsidR="00AD3447">
        <w:rPr>
          <w:rFonts w:ascii="Arial" w:hAnsi="Arial" w:cs="Arial"/>
          <w:sz w:val="24"/>
          <w:szCs w:val="24"/>
        </w:rPr>
        <w:t>)</w:t>
      </w:r>
      <w:r w:rsidR="00FC7D58">
        <w:rPr>
          <w:rFonts w:ascii="Arial" w:hAnsi="Arial" w:cs="Arial"/>
          <w:sz w:val="24"/>
          <w:szCs w:val="24"/>
        </w:rPr>
        <w:t>,</w:t>
      </w:r>
      <w:r w:rsidR="00AD3447">
        <w:rPr>
          <w:rFonts w:ascii="Arial" w:hAnsi="Arial" w:cs="Arial"/>
          <w:sz w:val="24"/>
          <w:szCs w:val="24"/>
        </w:rPr>
        <w:t xml:space="preserve"> </w:t>
      </w:r>
      <w:r w:rsidR="001C4EA8">
        <w:rPr>
          <w:rFonts w:ascii="Arial" w:hAnsi="Arial" w:cs="Arial"/>
          <w:sz w:val="24"/>
          <w:szCs w:val="24"/>
        </w:rPr>
        <w:t>les décisions prises</w:t>
      </w:r>
      <w:r w:rsidR="00E220AE">
        <w:rPr>
          <w:rFonts w:ascii="Arial" w:hAnsi="Arial" w:cs="Arial"/>
          <w:sz w:val="24"/>
          <w:szCs w:val="24"/>
        </w:rPr>
        <w:t xml:space="preserve"> par la nouvelle direction </w:t>
      </w:r>
      <w:r w:rsidR="00050C0E">
        <w:rPr>
          <w:rFonts w:ascii="Arial" w:hAnsi="Arial" w:cs="Arial"/>
          <w:sz w:val="24"/>
          <w:szCs w:val="24"/>
        </w:rPr>
        <w:t xml:space="preserve">auront pour finalité </w:t>
      </w:r>
      <w:r w:rsidR="003D77C4">
        <w:rPr>
          <w:rFonts w:ascii="Arial" w:hAnsi="Arial" w:cs="Arial"/>
          <w:sz w:val="24"/>
          <w:szCs w:val="24"/>
        </w:rPr>
        <w:t xml:space="preserve">principale </w:t>
      </w:r>
      <w:r w:rsidR="00050C0E">
        <w:rPr>
          <w:rFonts w:ascii="Arial" w:hAnsi="Arial" w:cs="Arial"/>
          <w:sz w:val="24"/>
          <w:szCs w:val="24"/>
        </w:rPr>
        <w:t xml:space="preserve">de se dégager, </w:t>
      </w:r>
      <w:r w:rsidR="000E39A4">
        <w:rPr>
          <w:rFonts w:ascii="Arial" w:hAnsi="Arial" w:cs="Arial"/>
          <w:sz w:val="24"/>
          <w:szCs w:val="24"/>
        </w:rPr>
        <w:t>tout d’abord</w:t>
      </w:r>
      <w:r w:rsidR="00050C0E">
        <w:rPr>
          <w:rFonts w:ascii="Arial" w:hAnsi="Arial" w:cs="Arial"/>
          <w:sz w:val="24"/>
          <w:szCs w:val="24"/>
        </w:rPr>
        <w:t xml:space="preserve">, </w:t>
      </w:r>
      <w:r w:rsidR="005A1C65">
        <w:rPr>
          <w:rFonts w:ascii="Arial" w:hAnsi="Arial" w:cs="Arial"/>
          <w:sz w:val="24"/>
          <w:szCs w:val="24"/>
        </w:rPr>
        <w:t>de prises de participation</w:t>
      </w:r>
      <w:r w:rsidR="006361F0">
        <w:rPr>
          <w:rFonts w:ascii="Arial" w:hAnsi="Arial" w:cs="Arial"/>
          <w:sz w:val="24"/>
          <w:szCs w:val="24"/>
        </w:rPr>
        <w:t>s</w:t>
      </w:r>
      <w:r w:rsidR="005A1C65">
        <w:rPr>
          <w:rFonts w:ascii="Arial" w:hAnsi="Arial" w:cs="Arial"/>
          <w:sz w:val="24"/>
          <w:szCs w:val="24"/>
        </w:rPr>
        <w:t xml:space="preserve"> non directement liées (revente en juin 2006</w:t>
      </w:r>
      <w:r w:rsidR="00537CC0">
        <w:rPr>
          <w:rFonts w:ascii="Arial" w:hAnsi="Arial" w:cs="Arial"/>
          <w:sz w:val="24"/>
          <w:szCs w:val="24"/>
        </w:rPr>
        <w:t xml:space="preserve"> de la participation détenue dans Club Méditerranée)</w:t>
      </w:r>
      <w:r w:rsidR="0022571F">
        <w:rPr>
          <w:rFonts w:ascii="Arial" w:hAnsi="Arial" w:cs="Arial"/>
          <w:sz w:val="24"/>
          <w:szCs w:val="24"/>
        </w:rPr>
        <w:t xml:space="preserve">. Ensuite, le groupe revend également Go Voyages et </w:t>
      </w:r>
      <w:r w:rsidR="00E0580C">
        <w:rPr>
          <w:rFonts w:ascii="Arial" w:hAnsi="Arial" w:cs="Arial"/>
          <w:sz w:val="24"/>
          <w:szCs w:val="24"/>
        </w:rPr>
        <w:t>Red Roof Inns</w:t>
      </w:r>
      <w:r w:rsidR="00493928">
        <w:rPr>
          <w:rFonts w:ascii="Arial" w:hAnsi="Arial" w:cs="Arial"/>
          <w:sz w:val="24"/>
          <w:szCs w:val="24"/>
        </w:rPr>
        <w:t>.</w:t>
      </w:r>
      <w:r w:rsidR="007E1D44">
        <w:rPr>
          <w:rFonts w:ascii="Arial" w:hAnsi="Arial" w:cs="Arial"/>
          <w:sz w:val="24"/>
          <w:szCs w:val="24"/>
        </w:rPr>
        <w:t xml:space="preserve"> </w:t>
      </w:r>
      <w:r w:rsidR="009935E6">
        <w:rPr>
          <w:rFonts w:ascii="Arial" w:hAnsi="Arial" w:cs="Arial"/>
          <w:sz w:val="24"/>
          <w:szCs w:val="24"/>
        </w:rPr>
        <w:t>Enfin,</w:t>
      </w:r>
      <w:r w:rsidR="0083346C">
        <w:rPr>
          <w:rFonts w:ascii="Arial" w:hAnsi="Arial" w:cs="Arial"/>
          <w:sz w:val="24"/>
          <w:szCs w:val="24"/>
        </w:rPr>
        <w:t xml:space="preserve"> </w:t>
      </w:r>
      <w:r w:rsidR="006E2F77">
        <w:rPr>
          <w:rFonts w:ascii="Arial" w:hAnsi="Arial" w:cs="Arial"/>
          <w:sz w:val="24"/>
          <w:szCs w:val="24"/>
        </w:rPr>
        <w:t>l’</w:t>
      </w:r>
      <w:r w:rsidR="0083346C" w:rsidRPr="0083346C">
        <w:rPr>
          <w:rFonts w:ascii="Arial" w:hAnsi="Arial" w:cs="Arial"/>
          <w:sz w:val="24"/>
          <w:szCs w:val="24"/>
        </w:rPr>
        <w:t>amplifi</w:t>
      </w:r>
      <w:r w:rsidR="006E2F77">
        <w:rPr>
          <w:rFonts w:ascii="Arial" w:hAnsi="Arial" w:cs="Arial"/>
          <w:sz w:val="24"/>
          <w:szCs w:val="24"/>
        </w:rPr>
        <w:t>cation de</w:t>
      </w:r>
      <w:r w:rsidR="0083346C" w:rsidRPr="0083346C">
        <w:rPr>
          <w:rFonts w:ascii="Arial" w:hAnsi="Arial" w:cs="Arial"/>
          <w:sz w:val="24"/>
          <w:szCs w:val="24"/>
        </w:rPr>
        <w:t xml:space="preserve"> la politique d'externalisation </w:t>
      </w:r>
      <w:r w:rsidR="006E2F77">
        <w:rPr>
          <w:rFonts w:ascii="Arial" w:hAnsi="Arial" w:cs="Arial"/>
          <w:sz w:val="24"/>
          <w:szCs w:val="24"/>
        </w:rPr>
        <w:t>et</w:t>
      </w:r>
      <w:r w:rsidR="0083346C" w:rsidRPr="0083346C">
        <w:rPr>
          <w:rFonts w:ascii="Arial" w:hAnsi="Arial" w:cs="Arial"/>
          <w:sz w:val="24"/>
          <w:szCs w:val="24"/>
        </w:rPr>
        <w:t xml:space="preserve"> </w:t>
      </w:r>
      <w:r w:rsidR="004C4346">
        <w:rPr>
          <w:rFonts w:ascii="Arial" w:hAnsi="Arial" w:cs="Arial"/>
          <w:sz w:val="24"/>
          <w:szCs w:val="24"/>
        </w:rPr>
        <w:t xml:space="preserve">la </w:t>
      </w:r>
      <w:r w:rsidR="0083346C" w:rsidRPr="0083346C">
        <w:rPr>
          <w:rFonts w:ascii="Arial" w:hAnsi="Arial" w:cs="Arial"/>
          <w:sz w:val="24"/>
          <w:szCs w:val="24"/>
        </w:rPr>
        <w:t>cession des actifs immobiliers</w:t>
      </w:r>
      <w:r w:rsidR="006E2F77">
        <w:rPr>
          <w:rFonts w:ascii="Arial" w:hAnsi="Arial" w:cs="Arial"/>
          <w:sz w:val="24"/>
          <w:szCs w:val="24"/>
        </w:rPr>
        <w:t xml:space="preserve"> est censée </w:t>
      </w:r>
      <w:r w:rsidR="00D04076">
        <w:rPr>
          <w:rFonts w:ascii="Arial" w:hAnsi="Arial" w:cs="Arial"/>
          <w:sz w:val="24"/>
          <w:szCs w:val="24"/>
        </w:rPr>
        <w:t xml:space="preserve">consolider le recentrage sur les deux métiers de l’entreprise. Le cadastre des restructurations </w:t>
      </w:r>
      <w:r w:rsidR="00C20206">
        <w:rPr>
          <w:rFonts w:ascii="Arial" w:hAnsi="Arial" w:cs="Arial"/>
          <w:sz w:val="24"/>
          <w:szCs w:val="24"/>
        </w:rPr>
        <w:t xml:space="preserve">montre une forte focalisation sur l’activité hôtelière et beaucoup </w:t>
      </w:r>
      <w:r w:rsidR="00E84295">
        <w:rPr>
          <w:rFonts w:ascii="Arial" w:hAnsi="Arial" w:cs="Arial"/>
          <w:sz w:val="24"/>
          <w:szCs w:val="24"/>
        </w:rPr>
        <w:t>moins sur l’activité de services.</w:t>
      </w:r>
      <w:r w:rsidR="00D04076">
        <w:rPr>
          <w:rFonts w:ascii="Arial" w:hAnsi="Arial" w:cs="Arial"/>
          <w:sz w:val="24"/>
          <w:szCs w:val="24"/>
        </w:rPr>
        <w:t xml:space="preserve"> </w:t>
      </w:r>
    </w:p>
    <w:p w14:paraId="3D1B382C" w14:textId="77777777" w:rsidR="00D9464D" w:rsidRDefault="00CE0709" w:rsidP="00072E72">
      <w:pPr>
        <w:spacing w:line="240" w:lineRule="auto"/>
        <w:ind w:left="720"/>
        <w:jc w:val="both"/>
        <w:rPr>
          <w:rFonts w:ascii="Arial" w:hAnsi="Arial" w:cs="Arial"/>
          <w:sz w:val="24"/>
          <w:szCs w:val="24"/>
        </w:rPr>
      </w:pPr>
      <w:r>
        <w:rPr>
          <w:rFonts w:ascii="Arial" w:hAnsi="Arial" w:cs="Arial"/>
          <w:sz w:val="24"/>
          <w:szCs w:val="24"/>
        </w:rPr>
        <w:t>Après un rebond boursier observé entre 2006 et 2008, l</w:t>
      </w:r>
      <w:r w:rsidR="00D6160A">
        <w:rPr>
          <w:rFonts w:ascii="Arial" w:hAnsi="Arial" w:cs="Arial"/>
          <w:sz w:val="24"/>
          <w:szCs w:val="24"/>
        </w:rPr>
        <w:t xml:space="preserve">es performances </w:t>
      </w:r>
      <w:r w:rsidR="00F33B1B">
        <w:rPr>
          <w:rFonts w:ascii="Arial" w:hAnsi="Arial" w:cs="Arial"/>
          <w:sz w:val="24"/>
          <w:szCs w:val="24"/>
        </w:rPr>
        <w:t xml:space="preserve">du groupe se </w:t>
      </w:r>
      <w:r w:rsidR="00075FDA">
        <w:rPr>
          <w:rFonts w:ascii="Arial" w:hAnsi="Arial" w:cs="Arial"/>
          <w:sz w:val="24"/>
          <w:szCs w:val="24"/>
        </w:rPr>
        <w:t xml:space="preserve">sont </w:t>
      </w:r>
      <w:r w:rsidR="00F33B1B">
        <w:rPr>
          <w:rFonts w:ascii="Arial" w:hAnsi="Arial" w:cs="Arial"/>
          <w:sz w:val="24"/>
          <w:szCs w:val="24"/>
        </w:rPr>
        <w:t xml:space="preserve">fortement </w:t>
      </w:r>
      <w:r w:rsidR="00075FDA">
        <w:rPr>
          <w:rFonts w:ascii="Arial" w:hAnsi="Arial" w:cs="Arial"/>
          <w:sz w:val="24"/>
          <w:szCs w:val="24"/>
        </w:rPr>
        <w:t xml:space="preserve">dégradées </w:t>
      </w:r>
      <w:r w:rsidR="00F33B1B">
        <w:rPr>
          <w:rFonts w:ascii="Arial" w:hAnsi="Arial" w:cs="Arial"/>
          <w:sz w:val="24"/>
          <w:szCs w:val="24"/>
        </w:rPr>
        <w:t xml:space="preserve">en 2009 </w:t>
      </w:r>
      <w:r w:rsidR="006E216B">
        <w:rPr>
          <w:rFonts w:ascii="Arial" w:hAnsi="Arial" w:cs="Arial"/>
          <w:sz w:val="24"/>
          <w:szCs w:val="24"/>
        </w:rPr>
        <w:t xml:space="preserve">(une perte de </w:t>
      </w:r>
      <w:r w:rsidR="007E58A1">
        <w:rPr>
          <w:rFonts w:ascii="Arial" w:hAnsi="Arial" w:cs="Arial"/>
          <w:sz w:val="24"/>
          <w:szCs w:val="24"/>
        </w:rPr>
        <w:t>150</w:t>
      </w:r>
      <w:r w:rsidR="002D09BD">
        <w:rPr>
          <w:rFonts w:ascii="Arial" w:hAnsi="Arial" w:cs="Arial"/>
          <w:sz w:val="24"/>
          <w:szCs w:val="24"/>
        </w:rPr>
        <w:t xml:space="preserve"> millions</w:t>
      </w:r>
      <w:r w:rsidR="007E58A1">
        <w:rPr>
          <w:rFonts w:ascii="Arial" w:hAnsi="Arial" w:cs="Arial"/>
          <w:sz w:val="24"/>
          <w:szCs w:val="24"/>
        </w:rPr>
        <w:t xml:space="preserve"> d’euros au premier semestre 2009</w:t>
      </w:r>
      <w:r w:rsidR="002D09BD">
        <w:rPr>
          <w:rFonts w:ascii="Arial" w:hAnsi="Arial" w:cs="Arial"/>
          <w:sz w:val="24"/>
          <w:szCs w:val="24"/>
        </w:rPr>
        <w:t xml:space="preserve"> et une </w:t>
      </w:r>
      <w:r w:rsidR="00B67CC2">
        <w:rPr>
          <w:rFonts w:ascii="Arial" w:hAnsi="Arial" w:cs="Arial"/>
          <w:sz w:val="24"/>
          <w:szCs w:val="24"/>
        </w:rPr>
        <w:t xml:space="preserve">division par deux de la valorisation </w:t>
      </w:r>
      <w:r w:rsidR="00421B3A">
        <w:rPr>
          <w:rFonts w:ascii="Arial" w:hAnsi="Arial" w:cs="Arial"/>
          <w:sz w:val="24"/>
          <w:szCs w:val="24"/>
        </w:rPr>
        <w:t xml:space="preserve">boursière </w:t>
      </w:r>
      <w:r w:rsidR="00B67CC2">
        <w:rPr>
          <w:rFonts w:ascii="Arial" w:hAnsi="Arial" w:cs="Arial"/>
          <w:sz w:val="24"/>
          <w:szCs w:val="24"/>
        </w:rPr>
        <w:t xml:space="preserve">du groupe en </w:t>
      </w:r>
      <w:r w:rsidR="00421B3A">
        <w:rPr>
          <w:rFonts w:ascii="Arial" w:hAnsi="Arial" w:cs="Arial"/>
          <w:sz w:val="24"/>
          <w:szCs w:val="24"/>
        </w:rPr>
        <w:t>2008</w:t>
      </w:r>
      <w:r w:rsidR="002D09BD">
        <w:rPr>
          <w:rFonts w:ascii="Arial" w:hAnsi="Arial" w:cs="Arial"/>
          <w:sz w:val="24"/>
          <w:szCs w:val="24"/>
        </w:rPr>
        <w:t>)</w:t>
      </w:r>
      <w:r w:rsidR="00DD506D">
        <w:rPr>
          <w:rFonts w:ascii="Arial" w:hAnsi="Arial" w:cs="Arial"/>
          <w:sz w:val="24"/>
          <w:szCs w:val="24"/>
        </w:rPr>
        <w:t xml:space="preserve"> et la valeur du portefeuille </w:t>
      </w:r>
      <w:r w:rsidR="00F02A6D">
        <w:rPr>
          <w:rFonts w:ascii="Arial" w:hAnsi="Arial" w:cs="Arial"/>
          <w:sz w:val="24"/>
          <w:szCs w:val="24"/>
        </w:rPr>
        <w:t xml:space="preserve">financier </w:t>
      </w:r>
      <w:r w:rsidR="00DD506D">
        <w:rPr>
          <w:rFonts w:ascii="Arial" w:hAnsi="Arial" w:cs="Arial"/>
          <w:sz w:val="24"/>
          <w:szCs w:val="24"/>
        </w:rPr>
        <w:t>des investisseurs i</w:t>
      </w:r>
      <w:r w:rsidR="00F02A6D">
        <w:rPr>
          <w:rFonts w:ascii="Arial" w:hAnsi="Arial" w:cs="Arial"/>
          <w:sz w:val="24"/>
          <w:szCs w:val="24"/>
        </w:rPr>
        <w:t xml:space="preserve">nstitutionnels </w:t>
      </w:r>
      <w:r w:rsidR="002A2C26">
        <w:rPr>
          <w:rFonts w:ascii="Arial" w:hAnsi="Arial" w:cs="Arial"/>
          <w:sz w:val="24"/>
          <w:szCs w:val="24"/>
        </w:rPr>
        <w:t xml:space="preserve">en est </w:t>
      </w:r>
      <w:r w:rsidR="006E77EA">
        <w:rPr>
          <w:rFonts w:ascii="Arial" w:hAnsi="Arial" w:cs="Arial"/>
          <w:sz w:val="24"/>
          <w:szCs w:val="24"/>
        </w:rPr>
        <w:t>forcément</w:t>
      </w:r>
      <w:r w:rsidR="002A2C26">
        <w:rPr>
          <w:rFonts w:ascii="Arial" w:hAnsi="Arial" w:cs="Arial"/>
          <w:sz w:val="24"/>
          <w:szCs w:val="24"/>
        </w:rPr>
        <w:t xml:space="preserve"> affectée</w:t>
      </w:r>
      <w:r w:rsidR="005A172E">
        <w:rPr>
          <w:rFonts w:ascii="Arial" w:hAnsi="Arial" w:cs="Arial"/>
          <w:sz w:val="24"/>
          <w:szCs w:val="24"/>
        </w:rPr>
        <w:t xml:space="preserve">. Pour rappel, </w:t>
      </w:r>
      <w:proofErr w:type="spellStart"/>
      <w:r w:rsidR="002A2C26">
        <w:rPr>
          <w:rFonts w:ascii="Arial" w:hAnsi="Arial" w:cs="Arial"/>
          <w:sz w:val="24"/>
          <w:szCs w:val="24"/>
        </w:rPr>
        <w:t>Eurazeo</w:t>
      </w:r>
      <w:proofErr w:type="spellEnd"/>
      <w:r w:rsidR="002A2C26">
        <w:rPr>
          <w:rFonts w:ascii="Arial" w:hAnsi="Arial" w:cs="Arial"/>
          <w:sz w:val="24"/>
          <w:szCs w:val="24"/>
        </w:rPr>
        <w:t xml:space="preserve"> est entré dans le capital en 2007</w:t>
      </w:r>
      <w:r w:rsidR="00C5075D">
        <w:rPr>
          <w:rFonts w:ascii="Arial" w:hAnsi="Arial" w:cs="Arial"/>
          <w:sz w:val="24"/>
          <w:szCs w:val="24"/>
        </w:rPr>
        <w:t xml:space="preserve"> - </w:t>
      </w:r>
      <w:r w:rsidR="002A2C26">
        <w:rPr>
          <w:rFonts w:ascii="Arial" w:hAnsi="Arial" w:cs="Arial"/>
          <w:sz w:val="24"/>
          <w:szCs w:val="24"/>
        </w:rPr>
        <w:t xml:space="preserve">juste avant la crise des </w:t>
      </w:r>
      <w:proofErr w:type="spellStart"/>
      <w:r w:rsidR="002A2C26">
        <w:rPr>
          <w:rFonts w:ascii="Arial" w:hAnsi="Arial" w:cs="Arial"/>
          <w:sz w:val="24"/>
          <w:szCs w:val="24"/>
        </w:rPr>
        <w:t>subprimes</w:t>
      </w:r>
      <w:proofErr w:type="spellEnd"/>
      <w:r w:rsidR="00C5075D">
        <w:rPr>
          <w:rFonts w:ascii="Arial" w:hAnsi="Arial" w:cs="Arial"/>
          <w:sz w:val="24"/>
          <w:szCs w:val="24"/>
        </w:rPr>
        <w:t xml:space="preserve"> - et c</w:t>
      </w:r>
      <w:r w:rsidR="005A172E">
        <w:rPr>
          <w:rFonts w:ascii="Arial" w:hAnsi="Arial" w:cs="Arial"/>
          <w:sz w:val="24"/>
          <w:szCs w:val="24"/>
        </w:rPr>
        <w:t xml:space="preserve">e serait donc un </w:t>
      </w:r>
      <w:proofErr w:type="spellStart"/>
      <w:r w:rsidR="005A172E">
        <w:rPr>
          <w:rFonts w:ascii="Arial" w:hAnsi="Arial" w:cs="Arial"/>
          <w:sz w:val="24"/>
          <w:szCs w:val="24"/>
        </w:rPr>
        <w:t>market</w:t>
      </w:r>
      <w:proofErr w:type="spellEnd"/>
      <w:r w:rsidR="005A172E">
        <w:rPr>
          <w:rFonts w:ascii="Arial" w:hAnsi="Arial" w:cs="Arial"/>
          <w:sz w:val="24"/>
          <w:szCs w:val="24"/>
        </w:rPr>
        <w:t xml:space="preserve"> </w:t>
      </w:r>
      <w:proofErr w:type="gramStart"/>
      <w:r w:rsidR="00B10942">
        <w:rPr>
          <w:rFonts w:ascii="Arial" w:hAnsi="Arial" w:cs="Arial"/>
          <w:sz w:val="24"/>
          <w:szCs w:val="24"/>
        </w:rPr>
        <w:t>tim</w:t>
      </w:r>
      <w:r w:rsidR="003C61A9">
        <w:rPr>
          <w:rFonts w:ascii="Arial" w:hAnsi="Arial" w:cs="Arial"/>
          <w:sz w:val="24"/>
          <w:szCs w:val="24"/>
        </w:rPr>
        <w:t>ing</w:t>
      </w:r>
      <w:proofErr w:type="gramEnd"/>
      <w:r w:rsidR="00B10942">
        <w:rPr>
          <w:rFonts w:ascii="Arial" w:hAnsi="Arial" w:cs="Arial"/>
          <w:sz w:val="24"/>
          <w:szCs w:val="24"/>
        </w:rPr>
        <w:t xml:space="preserve"> </w:t>
      </w:r>
      <w:r w:rsidR="005A172E">
        <w:rPr>
          <w:rFonts w:ascii="Arial" w:hAnsi="Arial" w:cs="Arial"/>
          <w:sz w:val="24"/>
          <w:szCs w:val="24"/>
        </w:rPr>
        <w:t>peu judicieu</w:t>
      </w:r>
      <w:r w:rsidR="00B10942">
        <w:rPr>
          <w:rFonts w:ascii="Arial" w:hAnsi="Arial" w:cs="Arial"/>
          <w:sz w:val="24"/>
          <w:szCs w:val="24"/>
        </w:rPr>
        <w:t>x qui expliquer</w:t>
      </w:r>
      <w:r w:rsidR="0073268D">
        <w:rPr>
          <w:rFonts w:ascii="Arial" w:hAnsi="Arial" w:cs="Arial"/>
          <w:sz w:val="24"/>
          <w:szCs w:val="24"/>
        </w:rPr>
        <w:t>ait</w:t>
      </w:r>
      <w:r w:rsidR="00B10942">
        <w:rPr>
          <w:rFonts w:ascii="Arial" w:hAnsi="Arial" w:cs="Arial"/>
          <w:sz w:val="24"/>
          <w:szCs w:val="24"/>
        </w:rPr>
        <w:t xml:space="preserve"> l’acc</w:t>
      </w:r>
      <w:r w:rsidR="003E5033">
        <w:rPr>
          <w:rFonts w:ascii="Arial" w:hAnsi="Arial" w:cs="Arial"/>
          <w:sz w:val="24"/>
          <w:szCs w:val="24"/>
        </w:rPr>
        <w:t>roissement de la pression institutionnelle</w:t>
      </w:r>
      <w:r w:rsidR="00B10942">
        <w:rPr>
          <w:rFonts w:ascii="Arial" w:hAnsi="Arial" w:cs="Arial"/>
          <w:sz w:val="24"/>
          <w:szCs w:val="24"/>
        </w:rPr>
        <w:t>.</w:t>
      </w:r>
      <w:r w:rsidR="002A2C26">
        <w:rPr>
          <w:rFonts w:ascii="Arial" w:hAnsi="Arial" w:cs="Arial"/>
          <w:sz w:val="24"/>
          <w:szCs w:val="24"/>
        </w:rPr>
        <w:t xml:space="preserve"> </w:t>
      </w:r>
      <w:r w:rsidR="00A45363">
        <w:rPr>
          <w:rFonts w:ascii="Arial" w:hAnsi="Arial" w:cs="Arial"/>
          <w:sz w:val="24"/>
          <w:szCs w:val="24"/>
        </w:rPr>
        <w:t xml:space="preserve">En 2009, </w:t>
      </w:r>
      <w:r w:rsidR="001A6226">
        <w:rPr>
          <w:rFonts w:ascii="Arial" w:hAnsi="Arial" w:cs="Arial"/>
          <w:sz w:val="24"/>
          <w:szCs w:val="24"/>
        </w:rPr>
        <w:t>d</w:t>
      </w:r>
      <w:r w:rsidR="00127BB1">
        <w:rPr>
          <w:rFonts w:ascii="Arial" w:hAnsi="Arial" w:cs="Arial"/>
          <w:sz w:val="24"/>
          <w:szCs w:val="24"/>
        </w:rPr>
        <w:t xml:space="preserve">ifférentes modifications vont s’opérer. </w:t>
      </w:r>
    </w:p>
    <w:p w14:paraId="50DA3409" w14:textId="5DB9BFB5" w:rsidR="002A7002" w:rsidRDefault="000044FC" w:rsidP="00072E72">
      <w:pPr>
        <w:spacing w:line="240" w:lineRule="auto"/>
        <w:ind w:left="720"/>
        <w:jc w:val="both"/>
        <w:rPr>
          <w:rFonts w:ascii="Arial" w:hAnsi="Arial" w:cs="Arial"/>
          <w:sz w:val="24"/>
          <w:szCs w:val="24"/>
        </w:rPr>
      </w:pPr>
      <w:r>
        <w:rPr>
          <w:rFonts w:ascii="Arial" w:hAnsi="Arial" w:cs="Arial"/>
          <w:sz w:val="24"/>
          <w:szCs w:val="24"/>
        </w:rPr>
        <w:t>Premièrement</w:t>
      </w:r>
      <w:r w:rsidR="00127BB1">
        <w:rPr>
          <w:rFonts w:ascii="Arial" w:hAnsi="Arial" w:cs="Arial"/>
          <w:sz w:val="24"/>
          <w:szCs w:val="24"/>
        </w:rPr>
        <w:t xml:space="preserve">, au niveau de la gouvernance : </w:t>
      </w:r>
      <w:r>
        <w:rPr>
          <w:rFonts w:ascii="Arial" w:hAnsi="Arial" w:cs="Arial"/>
          <w:sz w:val="24"/>
          <w:szCs w:val="24"/>
        </w:rPr>
        <w:t>e</w:t>
      </w:r>
      <w:r w:rsidR="00164791">
        <w:rPr>
          <w:rFonts w:ascii="Arial" w:hAnsi="Arial" w:cs="Arial"/>
          <w:sz w:val="24"/>
          <w:szCs w:val="24"/>
        </w:rPr>
        <w:t>n février</w:t>
      </w:r>
      <w:r w:rsidR="00017E26" w:rsidRPr="00017E26">
        <w:rPr>
          <w:rFonts w:ascii="Arial" w:hAnsi="Arial" w:cs="Arial"/>
          <w:sz w:val="24"/>
          <w:szCs w:val="24"/>
        </w:rPr>
        <w:t xml:space="preserve"> 2009, les administrateurs opposés à la scission, Baudouin Prot, représentant de BNP Paribas, et Augustin de Romanet, de la Caisse des dépôts</w:t>
      </w:r>
      <w:r w:rsidR="00AF657E">
        <w:rPr>
          <w:rFonts w:ascii="Arial" w:hAnsi="Arial" w:cs="Arial"/>
          <w:sz w:val="24"/>
          <w:szCs w:val="24"/>
        </w:rPr>
        <w:t xml:space="preserve"> et trois admin</w:t>
      </w:r>
      <w:r w:rsidR="00756B0F">
        <w:rPr>
          <w:rFonts w:ascii="Arial" w:hAnsi="Arial" w:cs="Arial"/>
          <w:sz w:val="24"/>
          <w:szCs w:val="24"/>
        </w:rPr>
        <w:t>i</w:t>
      </w:r>
      <w:r w:rsidR="00AF657E">
        <w:rPr>
          <w:rFonts w:ascii="Arial" w:hAnsi="Arial" w:cs="Arial"/>
          <w:sz w:val="24"/>
          <w:szCs w:val="24"/>
        </w:rPr>
        <w:t>strateurs indépendants (</w:t>
      </w:r>
      <w:r w:rsidR="00AF657E" w:rsidRPr="00AF657E">
        <w:rPr>
          <w:rFonts w:ascii="Arial" w:hAnsi="Arial" w:cs="Arial"/>
          <w:sz w:val="24"/>
          <w:szCs w:val="24"/>
        </w:rPr>
        <w:t xml:space="preserve">Isabelle Bouillot, Aldo Cardoso et Sir </w:t>
      </w:r>
      <w:proofErr w:type="spellStart"/>
      <w:r w:rsidR="00AF657E" w:rsidRPr="00AF657E">
        <w:rPr>
          <w:rFonts w:ascii="Arial" w:hAnsi="Arial" w:cs="Arial"/>
          <w:sz w:val="24"/>
          <w:szCs w:val="24"/>
        </w:rPr>
        <w:t>Roderic</w:t>
      </w:r>
      <w:proofErr w:type="spellEnd"/>
      <w:r w:rsidR="00AF657E" w:rsidRPr="00AF657E">
        <w:rPr>
          <w:rFonts w:ascii="Arial" w:hAnsi="Arial" w:cs="Arial"/>
          <w:sz w:val="24"/>
          <w:szCs w:val="24"/>
        </w:rPr>
        <w:t xml:space="preserve"> Lyne</w:t>
      </w:r>
      <w:r w:rsidR="00756B0F">
        <w:rPr>
          <w:rFonts w:ascii="Arial" w:hAnsi="Arial" w:cs="Arial"/>
          <w:sz w:val="24"/>
          <w:szCs w:val="24"/>
        </w:rPr>
        <w:t xml:space="preserve">) </w:t>
      </w:r>
      <w:r w:rsidR="00017E26" w:rsidRPr="00017E26">
        <w:rPr>
          <w:rFonts w:ascii="Arial" w:hAnsi="Arial" w:cs="Arial"/>
          <w:sz w:val="24"/>
          <w:szCs w:val="24"/>
        </w:rPr>
        <w:t xml:space="preserve">quittent le Conseil, suivis de Serge Weinberg, qui </w:t>
      </w:r>
      <w:r w:rsidR="00756B0F">
        <w:rPr>
          <w:rFonts w:ascii="Arial" w:hAnsi="Arial" w:cs="Arial"/>
          <w:sz w:val="24"/>
          <w:szCs w:val="24"/>
        </w:rPr>
        <w:t xml:space="preserve">en avait la </w:t>
      </w:r>
      <w:r w:rsidR="00017E26" w:rsidRPr="00017E26">
        <w:rPr>
          <w:rFonts w:ascii="Arial" w:hAnsi="Arial" w:cs="Arial"/>
          <w:sz w:val="24"/>
          <w:szCs w:val="24"/>
        </w:rPr>
        <w:t>présid</w:t>
      </w:r>
      <w:r w:rsidR="00756B0F">
        <w:rPr>
          <w:rFonts w:ascii="Arial" w:hAnsi="Arial" w:cs="Arial"/>
          <w:sz w:val="24"/>
          <w:szCs w:val="24"/>
        </w:rPr>
        <w:t>ence</w:t>
      </w:r>
      <w:r w:rsidR="00017E26">
        <w:rPr>
          <w:rFonts w:ascii="Arial" w:hAnsi="Arial" w:cs="Arial"/>
          <w:sz w:val="24"/>
          <w:szCs w:val="24"/>
        </w:rPr>
        <w:t xml:space="preserve">. </w:t>
      </w:r>
      <w:r w:rsidR="00164791">
        <w:rPr>
          <w:rFonts w:ascii="Arial" w:hAnsi="Arial" w:cs="Arial"/>
          <w:sz w:val="24"/>
          <w:szCs w:val="24"/>
        </w:rPr>
        <w:t xml:space="preserve">Ce dernier départ a engendré </w:t>
      </w:r>
      <w:r w:rsidR="008F5D02">
        <w:rPr>
          <w:rFonts w:ascii="Arial" w:hAnsi="Arial" w:cs="Arial"/>
          <w:sz w:val="24"/>
          <w:szCs w:val="24"/>
        </w:rPr>
        <w:t>le</w:t>
      </w:r>
      <w:r w:rsidR="00164791">
        <w:rPr>
          <w:rFonts w:ascii="Arial" w:hAnsi="Arial" w:cs="Arial"/>
          <w:sz w:val="24"/>
          <w:szCs w:val="24"/>
        </w:rPr>
        <w:t xml:space="preserve"> cumul de</w:t>
      </w:r>
      <w:r w:rsidR="008F5D02">
        <w:rPr>
          <w:rFonts w:ascii="Arial" w:hAnsi="Arial" w:cs="Arial"/>
          <w:sz w:val="24"/>
          <w:szCs w:val="24"/>
        </w:rPr>
        <w:t>s</w:t>
      </w:r>
      <w:r w:rsidR="00164791">
        <w:rPr>
          <w:rFonts w:ascii="Arial" w:hAnsi="Arial" w:cs="Arial"/>
          <w:sz w:val="24"/>
          <w:szCs w:val="24"/>
        </w:rPr>
        <w:t xml:space="preserve"> fonctions de PDG et de PCA pour Gilles Pélisson. </w:t>
      </w:r>
      <w:r w:rsidR="002A7002" w:rsidRPr="002A7002">
        <w:rPr>
          <w:rFonts w:ascii="Arial" w:hAnsi="Arial" w:cs="Arial"/>
          <w:sz w:val="24"/>
          <w:szCs w:val="24"/>
        </w:rPr>
        <w:t>Afin d’obtenir l’appui des six autres administrateurs indépendants, il</w:t>
      </w:r>
      <w:r w:rsidR="00EA0676">
        <w:rPr>
          <w:rFonts w:ascii="Arial" w:hAnsi="Arial" w:cs="Arial"/>
          <w:sz w:val="24"/>
          <w:szCs w:val="24"/>
        </w:rPr>
        <w:t xml:space="preserve"> est</w:t>
      </w:r>
      <w:r w:rsidR="002A7002" w:rsidRPr="002A7002">
        <w:rPr>
          <w:rFonts w:ascii="Arial" w:hAnsi="Arial" w:cs="Arial"/>
          <w:sz w:val="24"/>
          <w:szCs w:val="24"/>
        </w:rPr>
        <w:t xml:space="preserve"> fait appel à </w:t>
      </w:r>
      <w:proofErr w:type="spellStart"/>
      <w:r w:rsidR="002A7002" w:rsidRPr="002A7002">
        <w:rPr>
          <w:rFonts w:ascii="Arial" w:hAnsi="Arial" w:cs="Arial"/>
          <w:sz w:val="24"/>
          <w:szCs w:val="24"/>
        </w:rPr>
        <w:t>JPMorgan</w:t>
      </w:r>
      <w:proofErr w:type="spellEnd"/>
      <w:r w:rsidR="002A7002" w:rsidRPr="002A7002">
        <w:rPr>
          <w:rFonts w:ascii="Arial" w:hAnsi="Arial" w:cs="Arial"/>
          <w:sz w:val="24"/>
          <w:szCs w:val="24"/>
        </w:rPr>
        <w:t xml:space="preserve"> pour les conseiller…</w:t>
      </w:r>
    </w:p>
    <w:p w14:paraId="33F55C6A" w14:textId="22E27E49" w:rsidR="00074279" w:rsidRDefault="00074279" w:rsidP="00074279">
      <w:pPr>
        <w:spacing w:line="240" w:lineRule="auto"/>
        <w:ind w:left="720"/>
        <w:jc w:val="both"/>
        <w:rPr>
          <w:rFonts w:ascii="Arial" w:hAnsi="Arial" w:cs="Arial"/>
          <w:sz w:val="24"/>
          <w:szCs w:val="24"/>
        </w:rPr>
      </w:pPr>
      <w:r w:rsidRPr="00074279">
        <w:rPr>
          <w:rFonts w:ascii="Arial" w:hAnsi="Arial" w:cs="Arial"/>
          <w:sz w:val="24"/>
          <w:szCs w:val="24"/>
        </w:rPr>
        <w:t>Deuxièmement</w:t>
      </w:r>
      <w:r w:rsidR="00D26DB0">
        <w:rPr>
          <w:rFonts w:ascii="Arial" w:hAnsi="Arial" w:cs="Arial"/>
          <w:sz w:val="24"/>
          <w:szCs w:val="24"/>
        </w:rPr>
        <w:t xml:space="preserve">, </w:t>
      </w:r>
      <w:r>
        <w:rPr>
          <w:rFonts w:ascii="Arial" w:hAnsi="Arial" w:cs="Arial"/>
          <w:sz w:val="24"/>
          <w:szCs w:val="24"/>
        </w:rPr>
        <w:t>à partir de 2009, les actionnaires qui auraient pu contester les velléités institutionnelles de restructuration de l’entreprise (notamment la CDC) so</w:t>
      </w:r>
      <w:r w:rsidR="00D26DB0">
        <w:rPr>
          <w:rFonts w:ascii="Arial" w:hAnsi="Arial" w:cs="Arial"/>
          <w:sz w:val="24"/>
          <w:szCs w:val="24"/>
        </w:rPr>
        <w:t>rtent</w:t>
      </w:r>
      <w:r>
        <w:rPr>
          <w:rFonts w:ascii="Arial" w:hAnsi="Arial" w:cs="Arial"/>
          <w:sz w:val="24"/>
          <w:szCs w:val="24"/>
        </w:rPr>
        <w:t xml:space="preserve"> de manière partielle ou totale de la structure de propriété de l’entreprise. </w:t>
      </w:r>
    </w:p>
    <w:p w14:paraId="6A088BE0" w14:textId="37F55EEA" w:rsidR="00E376C2" w:rsidRDefault="00074279" w:rsidP="00074279">
      <w:pPr>
        <w:spacing w:line="240" w:lineRule="auto"/>
        <w:ind w:left="708"/>
        <w:jc w:val="both"/>
        <w:rPr>
          <w:rFonts w:ascii="Arial" w:hAnsi="Arial" w:cs="Arial"/>
          <w:sz w:val="24"/>
          <w:szCs w:val="24"/>
        </w:rPr>
      </w:pPr>
      <w:r w:rsidRPr="00074279">
        <w:rPr>
          <w:rFonts w:ascii="Arial" w:hAnsi="Arial" w:cs="Arial"/>
          <w:sz w:val="24"/>
          <w:szCs w:val="24"/>
        </w:rPr>
        <w:t>Troisièmement,</w:t>
      </w:r>
      <w:r w:rsidR="000044FC">
        <w:rPr>
          <w:rFonts w:ascii="Arial" w:hAnsi="Arial" w:cs="Arial"/>
          <w:sz w:val="24"/>
          <w:szCs w:val="24"/>
        </w:rPr>
        <w:t xml:space="preserve"> d</w:t>
      </w:r>
      <w:r w:rsidR="00922BB0">
        <w:rPr>
          <w:rFonts w:ascii="Arial" w:hAnsi="Arial" w:cs="Arial"/>
          <w:sz w:val="24"/>
          <w:szCs w:val="24"/>
        </w:rPr>
        <w:t>urant l’année 2009, l</w:t>
      </w:r>
      <w:r w:rsidR="00421B3A">
        <w:rPr>
          <w:rFonts w:ascii="Arial" w:hAnsi="Arial" w:cs="Arial"/>
          <w:sz w:val="24"/>
          <w:szCs w:val="24"/>
        </w:rPr>
        <w:t>es messages de l</w:t>
      </w:r>
      <w:r w:rsidR="00D11B4E">
        <w:rPr>
          <w:rFonts w:ascii="Arial" w:hAnsi="Arial" w:cs="Arial"/>
          <w:sz w:val="24"/>
          <w:szCs w:val="24"/>
        </w:rPr>
        <w:t>a</w:t>
      </w:r>
      <w:r w:rsidR="00421B3A">
        <w:rPr>
          <w:rFonts w:ascii="Arial" w:hAnsi="Arial" w:cs="Arial"/>
          <w:sz w:val="24"/>
          <w:szCs w:val="24"/>
        </w:rPr>
        <w:t xml:space="preserve"> direction </w:t>
      </w:r>
      <w:r w:rsidR="00CA7DC4">
        <w:rPr>
          <w:rFonts w:ascii="Arial" w:hAnsi="Arial" w:cs="Arial"/>
          <w:sz w:val="24"/>
          <w:szCs w:val="24"/>
        </w:rPr>
        <w:t>deviennent</w:t>
      </w:r>
      <w:r w:rsidR="003F5BF3">
        <w:rPr>
          <w:rFonts w:ascii="Arial" w:hAnsi="Arial" w:cs="Arial"/>
          <w:sz w:val="24"/>
          <w:szCs w:val="24"/>
        </w:rPr>
        <w:t xml:space="preserve"> peu équivoques</w:t>
      </w:r>
      <w:r w:rsidR="000F4A4A">
        <w:rPr>
          <w:rFonts w:ascii="Arial" w:hAnsi="Arial" w:cs="Arial"/>
          <w:sz w:val="24"/>
          <w:szCs w:val="24"/>
        </w:rPr>
        <w:t> : « </w:t>
      </w:r>
      <w:r w:rsidR="00F424FB" w:rsidRPr="00D11B4E">
        <w:rPr>
          <w:rFonts w:ascii="Arial" w:hAnsi="Arial" w:cs="Arial"/>
          <w:i/>
          <w:iCs/>
          <w:sz w:val="24"/>
          <w:szCs w:val="24"/>
        </w:rPr>
        <w:t>On est assez convaincu</w:t>
      </w:r>
      <w:r w:rsidR="00922BB0">
        <w:rPr>
          <w:rFonts w:ascii="Arial" w:hAnsi="Arial" w:cs="Arial"/>
          <w:i/>
          <w:iCs/>
          <w:sz w:val="24"/>
          <w:szCs w:val="24"/>
        </w:rPr>
        <w:t>s</w:t>
      </w:r>
      <w:r w:rsidR="00F424FB" w:rsidRPr="00D11B4E">
        <w:rPr>
          <w:rFonts w:ascii="Arial" w:hAnsi="Arial" w:cs="Arial"/>
          <w:i/>
          <w:iCs/>
          <w:sz w:val="24"/>
          <w:szCs w:val="24"/>
        </w:rPr>
        <w:t xml:space="preserve"> qu'on peut avoir deux sociétés cotées</w:t>
      </w:r>
      <w:r w:rsidR="00D11B4E" w:rsidRPr="00D11B4E">
        <w:rPr>
          <w:rFonts w:ascii="Arial" w:hAnsi="Arial" w:cs="Arial"/>
          <w:i/>
          <w:iCs/>
          <w:sz w:val="24"/>
          <w:szCs w:val="24"/>
        </w:rPr>
        <w:t xml:space="preserve">. </w:t>
      </w:r>
      <w:r w:rsidR="00F424FB" w:rsidRPr="00D11B4E">
        <w:rPr>
          <w:rFonts w:ascii="Arial" w:hAnsi="Arial" w:cs="Arial"/>
          <w:i/>
          <w:iCs/>
          <w:sz w:val="24"/>
          <w:szCs w:val="24"/>
        </w:rPr>
        <w:t>On a des études à faire sur la pertinence de la séparation</w:t>
      </w:r>
      <w:r w:rsidR="000F4A4A">
        <w:rPr>
          <w:rFonts w:ascii="Arial" w:hAnsi="Arial" w:cs="Arial"/>
          <w:i/>
          <w:iCs/>
          <w:sz w:val="24"/>
          <w:szCs w:val="24"/>
        </w:rPr>
        <w:t> </w:t>
      </w:r>
      <w:r w:rsidR="000F4A4A" w:rsidRPr="000F4A4A">
        <w:rPr>
          <w:rFonts w:ascii="Arial" w:hAnsi="Arial" w:cs="Arial"/>
          <w:sz w:val="24"/>
          <w:szCs w:val="24"/>
        </w:rPr>
        <w:t>»</w:t>
      </w:r>
      <w:r w:rsidR="00D11B4E">
        <w:rPr>
          <w:rFonts w:ascii="Arial" w:hAnsi="Arial" w:cs="Arial"/>
          <w:sz w:val="24"/>
          <w:szCs w:val="24"/>
        </w:rPr>
        <w:t xml:space="preserve">, Gilles Pélisson, août </w:t>
      </w:r>
      <w:r w:rsidR="000B6DBD">
        <w:rPr>
          <w:rFonts w:ascii="Arial" w:hAnsi="Arial" w:cs="Arial"/>
          <w:sz w:val="24"/>
          <w:szCs w:val="24"/>
        </w:rPr>
        <w:t>200</w:t>
      </w:r>
      <w:r w:rsidR="000F4A4A">
        <w:rPr>
          <w:rFonts w:ascii="Arial" w:hAnsi="Arial" w:cs="Arial"/>
          <w:sz w:val="24"/>
          <w:szCs w:val="24"/>
        </w:rPr>
        <w:t>9</w:t>
      </w:r>
      <w:r w:rsidR="00072E72">
        <w:rPr>
          <w:rFonts w:ascii="Arial" w:hAnsi="Arial" w:cs="Arial"/>
          <w:sz w:val="24"/>
          <w:szCs w:val="24"/>
        </w:rPr>
        <w:t xml:space="preserve">. En novembre 2009, le </w:t>
      </w:r>
      <w:r w:rsidR="00AE6915">
        <w:rPr>
          <w:rFonts w:ascii="Arial" w:hAnsi="Arial" w:cs="Arial"/>
          <w:sz w:val="24"/>
          <w:szCs w:val="24"/>
        </w:rPr>
        <w:t xml:space="preserve">Conseil indique </w:t>
      </w:r>
      <w:r w:rsidR="00D66298" w:rsidRPr="00D66298">
        <w:rPr>
          <w:rFonts w:ascii="Arial" w:hAnsi="Arial" w:cs="Arial"/>
          <w:sz w:val="24"/>
          <w:szCs w:val="24"/>
        </w:rPr>
        <w:t>"</w:t>
      </w:r>
      <w:r w:rsidR="00D66298" w:rsidRPr="00AE6915">
        <w:rPr>
          <w:rFonts w:ascii="Arial" w:hAnsi="Arial" w:cs="Arial"/>
          <w:i/>
          <w:iCs/>
          <w:sz w:val="24"/>
          <w:szCs w:val="24"/>
        </w:rPr>
        <w:t xml:space="preserve">revoir les analyses de pertinence de la séparation des deux métiers du </w:t>
      </w:r>
      <w:r w:rsidR="004C653D" w:rsidRPr="00AE6915">
        <w:rPr>
          <w:rFonts w:ascii="Arial" w:hAnsi="Arial" w:cs="Arial"/>
          <w:i/>
          <w:iCs/>
          <w:sz w:val="24"/>
          <w:szCs w:val="24"/>
        </w:rPr>
        <w:t>groupe</w:t>
      </w:r>
      <w:r w:rsidR="004C653D">
        <w:rPr>
          <w:rFonts w:ascii="Arial" w:hAnsi="Arial" w:cs="Arial"/>
          <w:sz w:val="24"/>
          <w:szCs w:val="24"/>
        </w:rPr>
        <w:t>…</w:t>
      </w:r>
      <w:r w:rsidR="00D66298" w:rsidRPr="00AE6915">
        <w:rPr>
          <w:rFonts w:ascii="Arial" w:hAnsi="Arial" w:cs="Arial"/>
          <w:i/>
          <w:iCs/>
          <w:sz w:val="24"/>
          <w:szCs w:val="24"/>
        </w:rPr>
        <w:t xml:space="preserve">Les premiers éléments de faisabilité juridique, sociale et économique de la scission ont </w:t>
      </w:r>
      <w:r w:rsidR="00D66298" w:rsidRPr="00AE6915">
        <w:rPr>
          <w:rFonts w:ascii="Arial" w:hAnsi="Arial" w:cs="Arial"/>
          <w:i/>
          <w:iCs/>
          <w:sz w:val="24"/>
          <w:szCs w:val="24"/>
        </w:rPr>
        <w:lastRenderedPageBreak/>
        <w:t>également été présentés"</w:t>
      </w:r>
      <w:r w:rsidR="00B634FE" w:rsidRPr="00B634FE">
        <w:rPr>
          <w:rFonts w:ascii="Arial" w:hAnsi="Arial" w:cs="Arial"/>
          <w:sz w:val="24"/>
          <w:szCs w:val="24"/>
        </w:rPr>
        <w:t>.</w:t>
      </w:r>
      <w:r w:rsidR="000C0E65" w:rsidRPr="000C0E65">
        <w:t xml:space="preserve"> </w:t>
      </w:r>
      <w:r w:rsidR="00073BAE">
        <w:rPr>
          <w:rFonts w:ascii="Arial" w:hAnsi="Arial" w:cs="Arial"/>
          <w:sz w:val="24"/>
          <w:szCs w:val="24"/>
        </w:rPr>
        <w:t xml:space="preserve">Le 15 décembre 2009, </w:t>
      </w:r>
      <w:r w:rsidR="00047767">
        <w:rPr>
          <w:rFonts w:ascii="Arial" w:hAnsi="Arial" w:cs="Arial"/>
          <w:sz w:val="24"/>
          <w:szCs w:val="24"/>
        </w:rPr>
        <w:t>l</w:t>
      </w:r>
      <w:r w:rsidR="00047767" w:rsidRPr="00047767">
        <w:rPr>
          <w:rFonts w:ascii="Arial" w:hAnsi="Arial" w:cs="Arial"/>
          <w:sz w:val="24"/>
          <w:szCs w:val="24"/>
        </w:rPr>
        <w:t>e conseil d'administration se prononc</w:t>
      </w:r>
      <w:r w:rsidR="00047767">
        <w:rPr>
          <w:rFonts w:ascii="Arial" w:hAnsi="Arial" w:cs="Arial"/>
          <w:sz w:val="24"/>
          <w:szCs w:val="24"/>
        </w:rPr>
        <w:t>e</w:t>
      </w:r>
      <w:r w:rsidR="00047767" w:rsidRPr="00047767">
        <w:rPr>
          <w:rFonts w:ascii="Arial" w:hAnsi="Arial" w:cs="Arial"/>
          <w:sz w:val="24"/>
          <w:szCs w:val="24"/>
        </w:rPr>
        <w:t xml:space="preserve"> en faveur du projet de scission des activités d'hôtellerie et de services du groupe, qui devrait être présenté aux actionnaires fin 2010.</w:t>
      </w:r>
      <w:r w:rsidR="007E3FDB">
        <w:rPr>
          <w:rFonts w:ascii="Arial" w:hAnsi="Arial" w:cs="Arial"/>
          <w:sz w:val="24"/>
          <w:szCs w:val="24"/>
        </w:rPr>
        <w:t xml:space="preserve"> </w:t>
      </w:r>
    </w:p>
    <w:p w14:paraId="47B6299E" w14:textId="2C69AA20" w:rsidR="001A6226" w:rsidRDefault="00A559AC" w:rsidP="00AC5035">
      <w:pPr>
        <w:spacing w:line="240" w:lineRule="auto"/>
        <w:ind w:left="720"/>
        <w:jc w:val="both"/>
        <w:rPr>
          <w:rFonts w:ascii="Arial" w:hAnsi="Arial" w:cs="Arial"/>
          <w:sz w:val="24"/>
          <w:szCs w:val="24"/>
        </w:rPr>
      </w:pPr>
      <w:r>
        <w:rPr>
          <w:rFonts w:ascii="Arial" w:hAnsi="Arial" w:cs="Arial"/>
          <w:sz w:val="24"/>
          <w:szCs w:val="24"/>
        </w:rPr>
        <w:t>E</w:t>
      </w:r>
      <w:r w:rsidR="00E376C2">
        <w:rPr>
          <w:rFonts w:ascii="Arial" w:hAnsi="Arial" w:cs="Arial"/>
          <w:sz w:val="24"/>
          <w:szCs w:val="24"/>
        </w:rPr>
        <w:t>n juin 2010, les</w:t>
      </w:r>
      <w:r w:rsidR="007E3FDB" w:rsidRPr="007E3FDB">
        <w:rPr>
          <w:rFonts w:ascii="Arial" w:hAnsi="Arial" w:cs="Arial"/>
          <w:sz w:val="24"/>
          <w:szCs w:val="24"/>
        </w:rPr>
        <w:t xml:space="preserve"> actionnaires d'Accor </w:t>
      </w:r>
      <w:r w:rsidR="00E376C2">
        <w:rPr>
          <w:rFonts w:ascii="Arial" w:hAnsi="Arial" w:cs="Arial"/>
          <w:sz w:val="24"/>
          <w:szCs w:val="24"/>
        </w:rPr>
        <w:t>approuvent</w:t>
      </w:r>
      <w:r w:rsidR="007E3FDB" w:rsidRPr="007E3FDB">
        <w:rPr>
          <w:rFonts w:ascii="Arial" w:hAnsi="Arial" w:cs="Arial"/>
          <w:sz w:val="24"/>
          <w:szCs w:val="24"/>
        </w:rPr>
        <w:t xml:space="preserve"> à 88,49% la scission du groupe en deux entités</w:t>
      </w:r>
      <w:r w:rsidR="0042563C">
        <w:rPr>
          <w:rFonts w:ascii="Arial" w:hAnsi="Arial" w:cs="Arial"/>
          <w:sz w:val="24"/>
          <w:szCs w:val="24"/>
        </w:rPr>
        <w:t xml:space="preserve"> cotées</w:t>
      </w:r>
      <w:r w:rsidR="001D7CB4">
        <w:rPr>
          <w:rFonts w:ascii="Arial" w:hAnsi="Arial" w:cs="Arial"/>
          <w:sz w:val="24"/>
          <w:szCs w:val="24"/>
        </w:rPr>
        <w:t> :</w:t>
      </w:r>
      <w:r w:rsidR="007E3FDB" w:rsidRPr="007E3FDB">
        <w:rPr>
          <w:rFonts w:ascii="Arial" w:hAnsi="Arial" w:cs="Arial"/>
          <w:sz w:val="24"/>
          <w:szCs w:val="24"/>
        </w:rPr>
        <w:t xml:space="preserve"> d'un côté l'hôtellerie et de l'autre les services prépayés</w:t>
      </w:r>
      <w:r w:rsidR="00FA4196">
        <w:rPr>
          <w:rFonts w:ascii="Arial" w:hAnsi="Arial" w:cs="Arial"/>
          <w:sz w:val="24"/>
          <w:szCs w:val="24"/>
        </w:rPr>
        <w:t xml:space="preserve"> (EDENRED)</w:t>
      </w:r>
      <w:r w:rsidR="007E3FDB" w:rsidRPr="007E3FDB">
        <w:rPr>
          <w:rFonts w:ascii="Arial" w:hAnsi="Arial" w:cs="Arial"/>
          <w:sz w:val="24"/>
          <w:szCs w:val="24"/>
        </w:rPr>
        <w:t>, Gilles Pélisson présidant la première et Jacques Stern la seconde.</w:t>
      </w:r>
      <w:r w:rsidR="007F323F">
        <w:rPr>
          <w:rFonts w:ascii="Arial" w:hAnsi="Arial" w:cs="Arial"/>
          <w:sz w:val="24"/>
          <w:szCs w:val="24"/>
        </w:rPr>
        <w:t xml:space="preserve"> </w:t>
      </w:r>
      <w:r w:rsidR="0042563C">
        <w:rPr>
          <w:rFonts w:ascii="Arial" w:hAnsi="Arial" w:cs="Arial"/>
          <w:sz w:val="24"/>
          <w:szCs w:val="24"/>
        </w:rPr>
        <w:t xml:space="preserve">Au niveau de </w:t>
      </w:r>
      <w:r w:rsidR="00521651">
        <w:rPr>
          <w:rFonts w:ascii="Arial" w:hAnsi="Arial" w:cs="Arial"/>
          <w:sz w:val="24"/>
          <w:szCs w:val="24"/>
        </w:rPr>
        <w:t xml:space="preserve">ACCORHOTELS, Gilles Pélisson sera remplacé par Denis Hennequin </w:t>
      </w:r>
      <w:r w:rsidR="00C3455B">
        <w:rPr>
          <w:rFonts w:ascii="Arial" w:hAnsi="Arial" w:cs="Arial"/>
          <w:sz w:val="24"/>
          <w:szCs w:val="24"/>
        </w:rPr>
        <w:t xml:space="preserve">en décembre 2010 et Sébastien Bazin </w:t>
      </w:r>
      <w:r w:rsidR="004F5426">
        <w:rPr>
          <w:rFonts w:ascii="Arial" w:hAnsi="Arial" w:cs="Arial"/>
          <w:sz w:val="24"/>
          <w:szCs w:val="24"/>
        </w:rPr>
        <w:t xml:space="preserve">en </w:t>
      </w:r>
      <w:r w:rsidR="00C3455B">
        <w:rPr>
          <w:rFonts w:ascii="Arial" w:hAnsi="Arial" w:cs="Arial"/>
          <w:sz w:val="24"/>
          <w:szCs w:val="24"/>
        </w:rPr>
        <w:t xml:space="preserve">prendra les commandes en </w:t>
      </w:r>
      <w:r w:rsidR="002C31F6">
        <w:rPr>
          <w:rFonts w:ascii="Arial" w:hAnsi="Arial" w:cs="Arial"/>
          <w:sz w:val="24"/>
          <w:szCs w:val="24"/>
        </w:rPr>
        <w:t>avril 2013.</w:t>
      </w:r>
      <w:r w:rsidR="004A35CE">
        <w:rPr>
          <w:rFonts w:ascii="Arial" w:hAnsi="Arial" w:cs="Arial"/>
          <w:sz w:val="24"/>
          <w:szCs w:val="24"/>
        </w:rPr>
        <w:t xml:space="preserve"> A noter que </w:t>
      </w:r>
      <w:r w:rsidR="00605FE5">
        <w:rPr>
          <w:rFonts w:ascii="Arial" w:hAnsi="Arial" w:cs="Arial"/>
          <w:sz w:val="24"/>
          <w:szCs w:val="24"/>
        </w:rPr>
        <w:t xml:space="preserve">les deux investisseurs ont complètement soldé leurs participations </w:t>
      </w:r>
      <w:r w:rsidR="0002139C">
        <w:rPr>
          <w:rFonts w:ascii="Arial" w:hAnsi="Arial" w:cs="Arial"/>
          <w:sz w:val="24"/>
          <w:szCs w:val="24"/>
        </w:rPr>
        <w:t>dans</w:t>
      </w:r>
      <w:r w:rsidR="00605FE5">
        <w:rPr>
          <w:rFonts w:ascii="Arial" w:hAnsi="Arial" w:cs="Arial"/>
          <w:sz w:val="24"/>
          <w:szCs w:val="24"/>
        </w:rPr>
        <w:t xml:space="preserve"> EDENRED et que seul </w:t>
      </w:r>
      <w:proofErr w:type="spellStart"/>
      <w:r w:rsidR="00605FE5">
        <w:rPr>
          <w:rFonts w:ascii="Arial" w:hAnsi="Arial" w:cs="Arial"/>
          <w:sz w:val="24"/>
          <w:szCs w:val="24"/>
        </w:rPr>
        <w:t>Colony</w:t>
      </w:r>
      <w:proofErr w:type="spellEnd"/>
      <w:r w:rsidR="00605FE5">
        <w:rPr>
          <w:rFonts w:ascii="Arial" w:hAnsi="Arial" w:cs="Arial"/>
          <w:sz w:val="24"/>
          <w:szCs w:val="24"/>
        </w:rPr>
        <w:t xml:space="preserve"> Capital demeure</w:t>
      </w:r>
      <w:r w:rsidR="0002139C">
        <w:rPr>
          <w:rFonts w:ascii="Arial" w:hAnsi="Arial" w:cs="Arial"/>
          <w:sz w:val="24"/>
          <w:szCs w:val="24"/>
        </w:rPr>
        <w:t xml:space="preserve"> encore</w:t>
      </w:r>
      <w:r w:rsidR="00527D62">
        <w:rPr>
          <w:rFonts w:ascii="Arial" w:hAnsi="Arial" w:cs="Arial"/>
          <w:sz w:val="24"/>
          <w:szCs w:val="24"/>
        </w:rPr>
        <w:t xml:space="preserve"> dans la structure de propriété d’ACCORHOTEL.</w:t>
      </w:r>
    </w:p>
    <w:p w14:paraId="64601697" w14:textId="5C59DEA7" w:rsidR="003E3BC4" w:rsidRPr="00073BAE" w:rsidRDefault="000630A5" w:rsidP="00AC5035">
      <w:pPr>
        <w:spacing w:line="240" w:lineRule="auto"/>
        <w:ind w:left="720"/>
        <w:jc w:val="both"/>
        <w:rPr>
          <w:rFonts w:ascii="Arial" w:hAnsi="Arial" w:cs="Arial"/>
          <w:sz w:val="24"/>
          <w:szCs w:val="24"/>
        </w:rPr>
      </w:pPr>
      <w:r>
        <w:rPr>
          <w:rFonts w:ascii="Arial" w:hAnsi="Arial" w:cs="Arial"/>
          <w:sz w:val="24"/>
          <w:szCs w:val="24"/>
        </w:rPr>
        <w:t xml:space="preserve">Au niveau de l’influence </w:t>
      </w:r>
      <w:r w:rsidR="005C1350">
        <w:rPr>
          <w:rFonts w:ascii="Arial" w:hAnsi="Arial" w:cs="Arial"/>
          <w:sz w:val="24"/>
          <w:szCs w:val="24"/>
        </w:rPr>
        <w:t>de l</w:t>
      </w:r>
      <w:r w:rsidR="008F1DF8">
        <w:rPr>
          <w:rFonts w:ascii="Arial" w:hAnsi="Arial" w:cs="Arial"/>
          <w:sz w:val="24"/>
          <w:szCs w:val="24"/>
        </w:rPr>
        <w:t>’environnement</w:t>
      </w:r>
      <w:r w:rsidR="005C1350">
        <w:rPr>
          <w:rFonts w:ascii="Arial" w:hAnsi="Arial" w:cs="Arial"/>
          <w:sz w:val="24"/>
          <w:szCs w:val="24"/>
        </w:rPr>
        <w:t xml:space="preserve"> politique, l</w:t>
      </w:r>
      <w:r w:rsidR="003E3BC4">
        <w:rPr>
          <w:rFonts w:ascii="Arial" w:hAnsi="Arial" w:cs="Arial"/>
          <w:sz w:val="24"/>
          <w:szCs w:val="24"/>
        </w:rPr>
        <w:t xml:space="preserve">’omniprésence de Sébastien Bazin dans l’opération – tout d’abord comme représentant des intérêts de </w:t>
      </w:r>
      <w:proofErr w:type="spellStart"/>
      <w:r w:rsidR="003E3BC4">
        <w:rPr>
          <w:rFonts w:ascii="Arial" w:hAnsi="Arial" w:cs="Arial"/>
          <w:sz w:val="24"/>
          <w:szCs w:val="24"/>
        </w:rPr>
        <w:t>Colony</w:t>
      </w:r>
      <w:proofErr w:type="spellEnd"/>
      <w:r w:rsidR="003E3BC4">
        <w:rPr>
          <w:rFonts w:ascii="Arial" w:hAnsi="Arial" w:cs="Arial"/>
          <w:sz w:val="24"/>
          <w:szCs w:val="24"/>
        </w:rPr>
        <w:t xml:space="preserve"> Capital </w:t>
      </w:r>
      <w:r w:rsidR="001B19EE">
        <w:rPr>
          <w:rFonts w:ascii="Arial" w:hAnsi="Arial" w:cs="Arial"/>
          <w:sz w:val="24"/>
          <w:szCs w:val="24"/>
        </w:rPr>
        <w:t xml:space="preserve">et ensuite comme dirigeant de la branche hôtelière – est </w:t>
      </w:r>
      <w:proofErr w:type="spellStart"/>
      <w:r w:rsidR="001B19EE">
        <w:rPr>
          <w:rFonts w:ascii="Arial" w:hAnsi="Arial" w:cs="Arial"/>
          <w:sz w:val="24"/>
          <w:szCs w:val="24"/>
        </w:rPr>
        <w:t>interpellante</w:t>
      </w:r>
      <w:proofErr w:type="spellEnd"/>
      <w:r w:rsidR="001B19EE">
        <w:rPr>
          <w:rFonts w:ascii="Arial" w:hAnsi="Arial" w:cs="Arial"/>
          <w:sz w:val="24"/>
          <w:szCs w:val="24"/>
        </w:rPr>
        <w:t xml:space="preserve"> et pose la question de ses relais dans la sphère politique française. </w:t>
      </w:r>
      <w:r w:rsidR="00AE2BC1">
        <w:rPr>
          <w:rFonts w:ascii="Arial" w:hAnsi="Arial" w:cs="Arial"/>
          <w:sz w:val="24"/>
          <w:szCs w:val="24"/>
        </w:rPr>
        <w:t>Ceux-ci ont dû jouer un rôle de facilitation pour la finalisation de l’opération. Ainsi,</w:t>
      </w:r>
      <w:r w:rsidR="00975326">
        <w:rPr>
          <w:rFonts w:ascii="Arial" w:hAnsi="Arial" w:cs="Arial"/>
          <w:sz w:val="24"/>
          <w:szCs w:val="24"/>
        </w:rPr>
        <w:t xml:space="preserve"> plusieurs éléments doivent être mis en avant :</w:t>
      </w:r>
    </w:p>
    <w:p w14:paraId="2612ACCE" w14:textId="77777777" w:rsidR="00D56FD0" w:rsidRPr="00D56FD0" w:rsidRDefault="00D56FD0" w:rsidP="00D56FD0">
      <w:pPr>
        <w:pStyle w:val="Paragraphedeliste"/>
        <w:numPr>
          <w:ilvl w:val="0"/>
          <w:numId w:val="6"/>
        </w:numPr>
        <w:spacing w:line="240" w:lineRule="auto"/>
        <w:jc w:val="both"/>
        <w:rPr>
          <w:rFonts w:ascii="Arial" w:hAnsi="Arial" w:cs="Arial"/>
          <w:sz w:val="24"/>
          <w:szCs w:val="24"/>
        </w:rPr>
      </w:pPr>
      <w:r w:rsidRPr="00D56FD0">
        <w:rPr>
          <w:rFonts w:ascii="Arial" w:hAnsi="Arial" w:cs="Arial"/>
          <w:sz w:val="24"/>
          <w:szCs w:val="24"/>
        </w:rPr>
        <w:t xml:space="preserve">Les liens tissés entre Nicolas Sarkozy et </w:t>
      </w:r>
      <w:proofErr w:type="spellStart"/>
      <w:r w:rsidRPr="00D56FD0">
        <w:rPr>
          <w:rFonts w:ascii="Arial" w:hAnsi="Arial" w:cs="Arial"/>
          <w:sz w:val="24"/>
          <w:szCs w:val="24"/>
        </w:rPr>
        <w:t>Colony</w:t>
      </w:r>
      <w:proofErr w:type="spellEnd"/>
      <w:r w:rsidRPr="00D56FD0">
        <w:rPr>
          <w:rFonts w:ascii="Arial" w:hAnsi="Arial" w:cs="Arial"/>
          <w:sz w:val="24"/>
          <w:szCs w:val="24"/>
        </w:rPr>
        <w:t xml:space="preserve"> Capital prennent appui sur une longue amitié entre Nicolas Sarkozy et Sébastien Bazin (DG de </w:t>
      </w:r>
      <w:proofErr w:type="spellStart"/>
      <w:r w:rsidRPr="00D56FD0">
        <w:rPr>
          <w:rFonts w:ascii="Arial" w:hAnsi="Arial" w:cs="Arial"/>
          <w:sz w:val="24"/>
          <w:szCs w:val="24"/>
        </w:rPr>
        <w:t>Colony</w:t>
      </w:r>
      <w:proofErr w:type="spellEnd"/>
      <w:r w:rsidRPr="00D56FD0">
        <w:rPr>
          <w:rFonts w:ascii="Arial" w:hAnsi="Arial" w:cs="Arial"/>
          <w:sz w:val="24"/>
          <w:szCs w:val="24"/>
        </w:rPr>
        <w:t xml:space="preserve"> Capital Europe en 2004). Celle-ci remonte à la gestion de la prise d’otages en 1993 de 21 élèves d’une école maternelle de Neuilly (dont Sarkozy était, à l’époque, maire), dont la fille de Sébastien Bazin ;</w:t>
      </w:r>
    </w:p>
    <w:p w14:paraId="357C2E15" w14:textId="4FA8648B" w:rsidR="00D56FD0" w:rsidRPr="00D56FD0" w:rsidRDefault="00D56FD0" w:rsidP="00D56FD0">
      <w:pPr>
        <w:pStyle w:val="Paragraphedeliste"/>
        <w:numPr>
          <w:ilvl w:val="0"/>
          <w:numId w:val="6"/>
        </w:numPr>
        <w:spacing w:line="240" w:lineRule="auto"/>
        <w:jc w:val="both"/>
        <w:rPr>
          <w:rFonts w:ascii="Arial" w:hAnsi="Arial" w:cs="Arial"/>
          <w:sz w:val="24"/>
          <w:szCs w:val="24"/>
        </w:rPr>
      </w:pPr>
      <w:r w:rsidRPr="00D56FD0">
        <w:rPr>
          <w:rFonts w:ascii="Arial" w:hAnsi="Arial" w:cs="Arial"/>
          <w:sz w:val="24"/>
          <w:szCs w:val="24"/>
        </w:rPr>
        <w:t>Après la scission du groupe, et alors que Sébastien a repris les commandes de la partie hôtelièr</w:t>
      </w:r>
      <w:r>
        <w:rPr>
          <w:rFonts w:ascii="Arial" w:hAnsi="Arial" w:cs="Arial"/>
          <w:sz w:val="24"/>
          <w:szCs w:val="24"/>
        </w:rPr>
        <w:t>e</w:t>
      </w:r>
      <w:r w:rsidRPr="00D56FD0">
        <w:rPr>
          <w:rFonts w:ascii="Arial" w:hAnsi="Arial" w:cs="Arial"/>
          <w:sz w:val="24"/>
          <w:szCs w:val="24"/>
        </w:rPr>
        <w:t xml:space="preserve">, Nicolas Sarkozy devint administrateur et président du Comité de la stratégie internationale du groupe en </w:t>
      </w:r>
      <w:proofErr w:type="gramStart"/>
      <w:r w:rsidR="00175001" w:rsidRPr="00D56FD0">
        <w:rPr>
          <w:rFonts w:ascii="Arial" w:hAnsi="Arial" w:cs="Arial"/>
          <w:sz w:val="24"/>
          <w:szCs w:val="24"/>
        </w:rPr>
        <w:t>2017;</w:t>
      </w:r>
      <w:proofErr w:type="gramEnd"/>
    </w:p>
    <w:p w14:paraId="7800ADE6" w14:textId="77777777" w:rsidR="00D56FD0" w:rsidRPr="00D56FD0" w:rsidRDefault="00D56FD0" w:rsidP="00D56FD0">
      <w:pPr>
        <w:pStyle w:val="Paragraphedeliste"/>
        <w:numPr>
          <w:ilvl w:val="0"/>
          <w:numId w:val="6"/>
        </w:numPr>
        <w:spacing w:line="240" w:lineRule="auto"/>
        <w:jc w:val="both"/>
        <w:rPr>
          <w:rFonts w:ascii="Arial" w:hAnsi="Arial" w:cs="Arial"/>
          <w:sz w:val="24"/>
          <w:szCs w:val="24"/>
        </w:rPr>
      </w:pPr>
      <w:r w:rsidRPr="00D56FD0">
        <w:rPr>
          <w:rFonts w:ascii="Arial" w:hAnsi="Arial" w:cs="Arial"/>
          <w:sz w:val="24"/>
          <w:szCs w:val="24"/>
        </w:rPr>
        <w:t xml:space="preserve">Nicolas Sarkozy va également jouer les entremetteurs lors de la revente par </w:t>
      </w:r>
      <w:proofErr w:type="spellStart"/>
      <w:r w:rsidRPr="00D56FD0">
        <w:rPr>
          <w:rFonts w:ascii="Arial" w:hAnsi="Arial" w:cs="Arial"/>
          <w:sz w:val="24"/>
          <w:szCs w:val="24"/>
        </w:rPr>
        <w:t>Colony</w:t>
      </w:r>
      <w:proofErr w:type="spellEnd"/>
      <w:r w:rsidRPr="00D56FD0">
        <w:rPr>
          <w:rFonts w:ascii="Arial" w:hAnsi="Arial" w:cs="Arial"/>
          <w:sz w:val="24"/>
          <w:szCs w:val="24"/>
        </w:rPr>
        <w:t xml:space="preserve"> Capital du PSG aux fonds qataris en 2011. A noter que les fonds qataris sont à l’heure actuelle les premiers actionnaires d’ACCORHOTELS et qu’ACCORHOTELS est l’un des plus importants sponsors du club de football ;</w:t>
      </w:r>
    </w:p>
    <w:p w14:paraId="75D7FFA4" w14:textId="53A911CC" w:rsidR="00E66CDB" w:rsidRDefault="00A370FD" w:rsidP="00E66CDB">
      <w:pPr>
        <w:pStyle w:val="Paragraphedeliste"/>
        <w:numPr>
          <w:ilvl w:val="0"/>
          <w:numId w:val="6"/>
        </w:numPr>
        <w:spacing w:line="240" w:lineRule="auto"/>
        <w:jc w:val="both"/>
        <w:rPr>
          <w:rFonts w:ascii="Arial" w:hAnsi="Arial" w:cs="Arial"/>
          <w:sz w:val="24"/>
          <w:szCs w:val="24"/>
        </w:rPr>
      </w:pPr>
      <w:r>
        <w:rPr>
          <w:rFonts w:ascii="Arial" w:hAnsi="Arial" w:cs="Arial"/>
          <w:sz w:val="24"/>
          <w:szCs w:val="24"/>
        </w:rPr>
        <w:t>Alors que les discours officiels</w:t>
      </w:r>
      <w:r w:rsidR="00B66410">
        <w:rPr>
          <w:rFonts w:ascii="Arial" w:hAnsi="Arial" w:cs="Arial"/>
          <w:sz w:val="24"/>
          <w:szCs w:val="24"/>
        </w:rPr>
        <w:t xml:space="preserve"> </w:t>
      </w:r>
      <w:r w:rsidR="00C14B5D">
        <w:rPr>
          <w:rFonts w:ascii="Arial" w:hAnsi="Arial" w:cs="Arial"/>
          <w:sz w:val="24"/>
          <w:szCs w:val="24"/>
        </w:rPr>
        <w:t>d</w:t>
      </w:r>
      <w:r w:rsidR="0028482F">
        <w:rPr>
          <w:rFonts w:ascii="Arial" w:hAnsi="Arial" w:cs="Arial"/>
          <w:sz w:val="24"/>
          <w:szCs w:val="24"/>
        </w:rPr>
        <w:t>e l’Elysée</w:t>
      </w:r>
      <w:r w:rsidR="00C14B5D">
        <w:rPr>
          <w:rFonts w:ascii="Arial" w:hAnsi="Arial" w:cs="Arial"/>
          <w:sz w:val="24"/>
          <w:szCs w:val="24"/>
        </w:rPr>
        <w:t xml:space="preserve"> insistent sur</w:t>
      </w:r>
      <w:r w:rsidR="00B66410">
        <w:rPr>
          <w:rFonts w:ascii="Arial" w:hAnsi="Arial" w:cs="Arial"/>
          <w:sz w:val="24"/>
          <w:szCs w:val="24"/>
        </w:rPr>
        <w:t xml:space="preserve"> la notion de patriotisme économique</w:t>
      </w:r>
      <w:r w:rsidR="008C723C">
        <w:rPr>
          <w:rFonts w:ascii="Arial" w:hAnsi="Arial" w:cs="Arial"/>
          <w:sz w:val="24"/>
          <w:szCs w:val="24"/>
        </w:rPr>
        <w:t xml:space="preserve"> en accroissant le rôle qui pourrait être joué par la CDC</w:t>
      </w:r>
      <w:r w:rsidR="00C959BF">
        <w:rPr>
          <w:rFonts w:ascii="Arial" w:hAnsi="Arial" w:cs="Arial"/>
          <w:sz w:val="24"/>
          <w:szCs w:val="24"/>
        </w:rPr>
        <w:t xml:space="preserve"> - e</w:t>
      </w:r>
      <w:r w:rsidR="003014AA">
        <w:rPr>
          <w:rFonts w:ascii="Arial" w:hAnsi="Arial" w:cs="Arial"/>
          <w:sz w:val="24"/>
          <w:szCs w:val="24"/>
        </w:rPr>
        <w:t>lle est alors considérée comme le bras armé de l’Elysée dans les fleurons de l’économie française</w:t>
      </w:r>
      <w:r w:rsidR="00C959BF">
        <w:rPr>
          <w:rFonts w:ascii="Arial" w:hAnsi="Arial" w:cs="Arial"/>
          <w:sz w:val="24"/>
          <w:szCs w:val="24"/>
        </w:rPr>
        <w:t xml:space="preserve"> - </w:t>
      </w:r>
      <w:r w:rsidR="007414E4">
        <w:rPr>
          <w:rFonts w:ascii="Arial" w:hAnsi="Arial" w:cs="Arial"/>
          <w:sz w:val="24"/>
          <w:szCs w:val="24"/>
        </w:rPr>
        <w:t>son influence conservatrice</w:t>
      </w:r>
      <w:r w:rsidR="00EE449E">
        <w:rPr>
          <w:rFonts w:ascii="Arial" w:hAnsi="Arial" w:cs="Arial"/>
          <w:sz w:val="24"/>
          <w:szCs w:val="24"/>
        </w:rPr>
        <w:t xml:space="preserve"> ne </w:t>
      </w:r>
      <w:r w:rsidR="007414E4">
        <w:rPr>
          <w:rFonts w:ascii="Arial" w:hAnsi="Arial" w:cs="Arial"/>
          <w:sz w:val="24"/>
          <w:szCs w:val="24"/>
        </w:rPr>
        <w:t xml:space="preserve">va </w:t>
      </w:r>
      <w:r w:rsidR="006F3580">
        <w:rPr>
          <w:rFonts w:ascii="Arial" w:hAnsi="Arial" w:cs="Arial"/>
          <w:sz w:val="24"/>
          <w:szCs w:val="24"/>
        </w:rPr>
        <w:t xml:space="preserve">cependant </w:t>
      </w:r>
      <w:r w:rsidR="007414E4">
        <w:rPr>
          <w:rFonts w:ascii="Arial" w:hAnsi="Arial" w:cs="Arial"/>
          <w:sz w:val="24"/>
          <w:szCs w:val="24"/>
        </w:rPr>
        <w:t xml:space="preserve">se formaliser </w:t>
      </w:r>
      <w:r w:rsidR="00EE449E">
        <w:rPr>
          <w:rFonts w:ascii="Arial" w:hAnsi="Arial" w:cs="Arial"/>
          <w:sz w:val="24"/>
          <w:szCs w:val="24"/>
        </w:rPr>
        <w:t>qu</w:t>
      </w:r>
      <w:r w:rsidR="007414E4">
        <w:rPr>
          <w:rFonts w:ascii="Arial" w:hAnsi="Arial" w:cs="Arial"/>
          <w:sz w:val="24"/>
          <w:szCs w:val="24"/>
        </w:rPr>
        <w:t xml:space="preserve">e dans </w:t>
      </w:r>
      <w:r w:rsidR="00EE449E">
        <w:rPr>
          <w:rFonts w:ascii="Arial" w:hAnsi="Arial" w:cs="Arial"/>
          <w:sz w:val="24"/>
          <w:szCs w:val="24"/>
        </w:rPr>
        <w:t xml:space="preserve">un nombre limité d’entreprises </w:t>
      </w:r>
      <w:r w:rsidR="006F3580">
        <w:rPr>
          <w:rFonts w:ascii="Arial" w:hAnsi="Arial" w:cs="Arial"/>
          <w:sz w:val="24"/>
          <w:szCs w:val="24"/>
        </w:rPr>
        <w:t xml:space="preserve">situées </w:t>
      </w:r>
      <w:r w:rsidR="00EE449E">
        <w:rPr>
          <w:rFonts w:ascii="Arial" w:hAnsi="Arial" w:cs="Arial"/>
          <w:sz w:val="24"/>
          <w:szCs w:val="24"/>
        </w:rPr>
        <w:t>dans des secteurs repérés comme stratégiques (aviation, armement, énergie) ;</w:t>
      </w:r>
    </w:p>
    <w:p w14:paraId="71B4FF2A" w14:textId="4D57D12A" w:rsidR="00267A13" w:rsidRDefault="00C2005B" w:rsidP="00E66CDB">
      <w:pPr>
        <w:pStyle w:val="Paragraphedeliste"/>
        <w:numPr>
          <w:ilvl w:val="0"/>
          <w:numId w:val="6"/>
        </w:numPr>
        <w:spacing w:line="240" w:lineRule="auto"/>
        <w:jc w:val="both"/>
        <w:rPr>
          <w:rFonts w:ascii="Arial" w:hAnsi="Arial" w:cs="Arial"/>
          <w:sz w:val="24"/>
          <w:szCs w:val="24"/>
        </w:rPr>
      </w:pPr>
      <w:r>
        <w:rPr>
          <w:rFonts w:ascii="Arial" w:hAnsi="Arial" w:cs="Arial"/>
          <w:sz w:val="24"/>
          <w:szCs w:val="24"/>
        </w:rPr>
        <w:t>Même si la CDC est présente dans la structure du groupe ACCOR</w:t>
      </w:r>
      <w:r w:rsidR="009A1760">
        <w:rPr>
          <w:rFonts w:ascii="Arial" w:hAnsi="Arial" w:cs="Arial"/>
          <w:sz w:val="24"/>
          <w:szCs w:val="24"/>
        </w:rPr>
        <w:t xml:space="preserve"> et </w:t>
      </w:r>
      <w:r w:rsidR="0010510B">
        <w:rPr>
          <w:rFonts w:ascii="Arial" w:hAnsi="Arial" w:cs="Arial"/>
          <w:sz w:val="24"/>
          <w:szCs w:val="24"/>
        </w:rPr>
        <w:t xml:space="preserve">semble </w:t>
      </w:r>
      <w:r w:rsidR="009A1760">
        <w:rPr>
          <w:rFonts w:ascii="Arial" w:hAnsi="Arial" w:cs="Arial"/>
          <w:sz w:val="24"/>
          <w:szCs w:val="24"/>
        </w:rPr>
        <w:t xml:space="preserve">être en mesure </w:t>
      </w:r>
      <w:r w:rsidR="00904C68">
        <w:rPr>
          <w:rFonts w:ascii="Arial" w:hAnsi="Arial" w:cs="Arial"/>
          <w:sz w:val="24"/>
          <w:szCs w:val="24"/>
        </w:rPr>
        <w:t xml:space="preserve">– du fait de ses niveaux de détention - </w:t>
      </w:r>
      <w:r w:rsidR="009A1760">
        <w:rPr>
          <w:rFonts w:ascii="Arial" w:hAnsi="Arial" w:cs="Arial"/>
          <w:sz w:val="24"/>
          <w:szCs w:val="24"/>
        </w:rPr>
        <w:t xml:space="preserve">de </w:t>
      </w:r>
      <w:r w:rsidR="009A4882">
        <w:rPr>
          <w:rFonts w:ascii="Arial" w:hAnsi="Arial" w:cs="Arial"/>
          <w:sz w:val="24"/>
          <w:szCs w:val="24"/>
        </w:rPr>
        <w:t>remettre en cause les positions du couple actionnarial</w:t>
      </w:r>
      <w:r w:rsidR="00F124A4">
        <w:rPr>
          <w:rFonts w:ascii="Arial" w:hAnsi="Arial" w:cs="Arial"/>
          <w:sz w:val="24"/>
          <w:szCs w:val="24"/>
        </w:rPr>
        <w:t xml:space="preserve">, dès 2019, </w:t>
      </w:r>
      <w:r w:rsidR="00CE0F3C">
        <w:rPr>
          <w:rFonts w:ascii="Arial" w:hAnsi="Arial" w:cs="Arial"/>
          <w:sz w:val="24"/>
          <w:szCs w:val="24"/>
        </w:rPr>
        <w:t>elle commence à se retirer du capital</w:t>
      </w:r>
      <w:r w:rsidR="00904C68">
        <w:rPr>
          <w:rFonts w:ascii="Arial" w:hAnsi="Arial" w:cs="Arial"/>
          <w:sz w:val="24"/>
          <w:szCs w:val="24"/>
        </w:rPr>
        <w:t>,</w:t>
      </w:r>
      <w:r w:rsidR="00BD55BA">
        <w:rPr>
          <w:rFonts w:ascii="Arial" w:hAnsi="Arial" w:cs="Arial"/>
          <w:sz w:val="24"/>
          <w:szCs w:val="24"/>
        </w:rPr>
        <w:t xml:space="preserve"> laissant </w:t>
      </w:r>
      <w:r w:rsidR="00904C68">
        <w:rPr>
          <w:rFonts w:ascii="Arial" w:hAnsi="Arial" w:cs="Arial"/>
          <w:sz w:val="24"/>
          <w:szCs w:val="24"/>
        </w:rPr>
        <w:t xml:space="preserve">ainsi </w:t>
      </w:r>
      <w:r w:rsidR="00873245">
        <w:rPr>
          <w:rFonts w:ascii="Arial" w:hAnsi="Arial" w:cs="Arial"/>
          <w:sz w:val="24"/>
          <w:szCs w:val="24"/>
        </w:rPr>
        <w:t xml:space="preserve">toute latitude à </w:t>
      </w:r>
      <w:proofErr w:type="spellStart"/>
      <w:r w:rsidR="00BD55BA">
        <w:rPr>
          <w:rFonts w:ascii="Arial" w:hAnsi="Arial" w:cs="Arial"/>
          <w:sz w:val="24"/>
          <w:szCs w:val="24"/>
        </w:rPr>
        <w:t>Colony</w:t>
      </w:r>
      <w:proofErr w:type="spellEnd"/>
      <w:r w:rsidR="00BD55BA">
        <w:rPr>
          <w:rFonts w:ascii="Arial" w:hAnsi="Arial" w:cs="Arial"/>
          <w:sz w:val="24"/>
          <w:szCs w:val="24"/>
        </w:rPr>
        <w:t xml:space="preserve"> Capital et </w:t>
      </w:r>
      <w:proofErr w:type="spellStart"/>
      <w:r w:rsidR="00DE0C18">
        <w:rPr>
          <w:rFonts w:ascii="Arial" w:hAnsi="Arial" w:cs="Arial"/>
          <w:sz w:val="24"/>
          <w:szCs w:val="24"/>
        </w:rPr>
        <w:t>Eurazeo</w:t>
      </w:r>
      <w:proofErr w:type="spellEnd"/>
      <w:r w:rsidR="00DE0C18">
        <w:rPr>
          <w:rFonts w:ascii="Arial" w:hAnsi="Arial" w:cs="Arial"/>
          <w:sz w:val="24"/>
          <w:szCs w:val="24"/>
        </w:rPr>
        <w:t xml:space="preserve"> pour</w:t>
      </w:r>
      <w:r w:rsidR="000C5EB9">
        <w:rPr>
          <w:rFonts w:ascii="Arial" w:hAnsi="Arial" w:cs="Arial"/>
          <w:sz w:val="24"/>
          <w:szCs w:val="24"/>
        </w:rPr>
        <w:t xml:space="preserve"> </w:t>
      </w:r>
      <w:r w:rsidR="00343727">
        <w:rPr>
          <w:rFonts w:ascii="Arial" w:hAnsi="Arial" w:cs="Arial"/>
          <w:sz w:val="24"/>
          <w:szCs w:val="24"/>
        </w:rPr>
        <w:t>orchestrer</w:t>
      </w:r>
      <w:r w:rsidR="008F3771">
        <w:rPr>
          <w:rFonts w:ascii="Arial" w:hAnsi="Arial" w:cs="Arial"/>
          <w:sz w:val="24"/>
          <w:szCs w:val="24"/>
        </w:rPr>
        <w:t xml:space="preserve"> </w:t>
      </w:r>
      <w:r w:rsidR="00343727">
        <w:rPr>
          <w:rFonts w:ascii="Arial" w:hAnsi="Arial" w:cs="Arial"/>
          <w:sz w:val="24"/>
          <w:szCs w:val="24"/>
        </w:rPr>
        <w:t>la scission de l’entreprise</w:t>
      </w:r>
      <w:r w:rsidR="00267A13">
        <w:rPr>
          <w:rFonts w:ascii="Arial" w:hAnsi="Arial" w:cs="Arial"/>
          <w:sz w:val="24"/>
          <w:szCs w:val="24"/>
        </w:rPr>
        <w:t> ;</w:t>
      </w:r>
    </w:p>
    <w:p w14:paraId="48AF4428" w14:textId="12EA3089" w:rsidR="00034913" w:rsidRPr="00034913" w:rsidRDefault="00034913" w:rsidP="00034913">
      <w:pPr>
        <w:spacing w:line="240" w:lineRule="auto"/>
        <w:ind w:left="708"/>
        <w:jc w:val="both"/>
        <w:rPr>
          <w:rFonts w:ascii="Arial" w:hAnsi="Arial" w:cs="Arial"/>
          <w:sz w:val="24"/>
          <w:szCs w:val="24"/>
        </w:rPr>
      </w:pPr>
      <w:r>
        <w:rPr>
          <w:rFonts w:ascii="Arial" w:hAnsi="Arial" w:cs="Arial"/>
          <w:sz w:val="24"/>
          <w:szCs w:val="24"/>
        </w:rPr>
        <w:t>En fonction de ce faisceau d’é</w:t>
      </w:r>
      <w:r w:rsidR="00D557F3">
        <w:rPr>
          <w:rFonts w:ascii="Arial" w:hAnsi="Arial" w:cs="Arial"/>
          <w:sz w:val="24"/>
          <w:szCs w:val="24"/>
        </w:rPr>
        <w:t>léments</w:t>
      </w:r>
      <w:r w:rsidR="00A505BB">
        <w:rPr>
          <w:rFonts w:ascii="Arial" w:hAnsi="Arial" w:cs="Arial"/>
          <w:sz w:val="24"/>
          <w:szCs w:val="24"/>
        </w:rPr>
        <w:t xml:space="preserve"> récoltés</w:t>
      </w:r>
      <w:r w:rsidR="00D557F3">
        <w:rPr>
          <w:rFonts w:ascii="Arial" w:hAnsi="Arial" w:cs="Arial"/>
          <w:sz w:val="24"/>
          <w:szCs w:val="24"/>
        </w:rPr>
        <w:t xml:space="preserve">, nous pouvons avancer que l’activisme de </w:t>
      </w:r>
      <w:proofErr w:type="spellStart"/>
      <w:r w:rsidR="00D557F3">
        <w:rPr>
          <w:rFonts w:ascii="Arial" w:hAnsi="Arial" w:cs="Arial"/>
          <w:sz w:val="24"/>
          <w:szCs w:val="24"/>
        </w:rPr>
        <w:t>Colony</w:t>
      </w:r>
      <w:proofErr w:type="spellEnd"/>
      <w:r w:rsidR="00D557F3">
        <w:rPr>
          <w:rFonts w:ascii="Arial" w:hAnsi="Arial" w:cs="Arial"/>
          <w:sz w:val="24"/>
          <w:szCs w:val="24"/>
        </w:rPr>
        <w:t xml:space="preserve"> Capital et d’</w:t>
      </w:r>
      <w:proofErr w:type="spellStart"/>
      <w:r w:rsidR="00D557F3">
        <w:rPr>
          <w:rFonts w:ascii="Arial" w:hAnsi="Arial" w:cs="Arial"/>
          <w:sz w:val="24"/>
          <w:szCs w:val="24"/>
        </w:rPr>
        <w:t>Eurazeo</w:t>
      </w:r>
      <w:proofErr w:type="spellEnd"/>
      <w:r w:rsidR="00D557F3">
        <w:rPr>
          <w:rFonts w:ascii="Arial" w:hAnsi="Arial" w:cs="Arial"/>
          <w:sz w:val="24"/>
          <w:szCs w:val="24"/>
        </w:rPr>
        <w:t xml:space="preserve"> a été </w:t>
      </w:r>
      <w:r w:rsidR="000F63F0">
        <w:rPr>
          <w:rFonts w:ascii="Arial" w:hAnsi="Arial" w:cs="Arial"/>
          <w:sz w:val="24"/>
          <w:szCs w:val="24"/>
        </w:rPr>
        <w:t xml:space="preserve">grandement </w:t>
      </w:r>
      <w:r w:rsidR="001A2C80">
        <w:rPr>
          <w:rFonts w:ascii="Arial" w:hAnsi="Arial" w:cs="Arial"/>
          <w:sz w:val="24"/>
          <w:szCs w:val="24"/>
        </w:rPr>
        <w:t xml:space="preserve">facilité par l’indifférence de Nicolas Sarkozy. </w:t>
      </w:r>
      <w:r w:rsidR="00DF3C85">
        <w:rPr>
          <w:rFonts w:ascii="Arial" w:hAnsi="Arial" w:cs="Arial"/>
          <w:sz w:val="24"/>
          <w:szCs w:val="24"/>
        </w:rPr>
        <w:t xml:space="preserve">S’il </w:t>
      </w:r>
      <w:r w:rsidR="00041F5D">
        <w:rPr>
          <w:rFonts w:ascii="Arial" w:hAnsi="Arial" w:cs="Arial"/>
          <w:sz w:val="24"/>
          <w:szCs w:val="24"/>
        </w:rPr>
        <w:t xml:space="preserve">est bien évidemment </w:t>
      </w:r>
      <w:r w:rsidR="00DA4B11">
        <w:rPr>
          <w:rFonts w:ascii="Arial" w:hAnsi="Arial" w:cs="Arial"/>
          <w:sz w:val="24"/>
          <w:szCs w:val="24"/>
        </w:rPr>
        <w:t>dangereux d’avancer</w:t>
      </w:r>
      <w:r w:rsidR="007F2CF8">
        <w:rPr>
          <w:rFonts w:ascii="Arial" w:hAnsi="Arial" w:cs="Arial"/>
          <w:sz w:val="24"/>
          <w:szCs w:val="24"/>
        </w:rPr>
        <w:t xml:space="preserve"> </w:t>
      </w:r>
      <w:r w:rsidR="00DF3C85">
        <w:rPr>
          <w:rFonts w:ascii="Arial" w:hAnsi="Arial" w:cs="Arial"/>
          <w:sz w:val="24"/>
          <w:szCs w:val="24"/>
        </w:rPr>
        <w:t xml:space="preserve">qu’il </w:t>
      </w:r>
      <w:r w:rsidR="00F67930">
        <w:rPr>
          <w:rFonts w:ascii="Arial" w:hAnsi="Arial" w:cs="Arial"/>
          <w:sz w:val="24"/>
          <w:szCs w:val="24"/>
        </w:rPr>
        <w:t>puisse être</w:t>
      </w:r>
      <w:r w:rsidR="00DF3C85">
        <w:rPr>
          <w:rFonts w:ascii="Arial" w:hAnsi="Arial" w:cs="Arial"/>
          <w:sz w:val="24"/>
          <w:szCs w:val="24"/>
        </w:rPr>
        <w:t xml:space="preserve"> à l’orig</w:t>
      </w:r>
      <w:r w:rsidR="004574F0">
        <w:rPr>
          <w:rFonts w:ascii="Arial" w:hAnsi="Arial" w:cs="Arial"/>
          <w:sz w:val="24"/>
          <w:szCs w:val="24"/>
        </w:rPr>
        <w:t xml:space="preserve">ine du positionnement de </w:t>
      </w:r>
      <w:proofErr w:type="spellStart"/>
      <w:r w:rsidR="004574F0">
        <w:rPr>
          <w:rFonts w:ascii="Arial" w:hAnsi="Arial" w:cs="Arial"/>
          <w:sz w:val="24"/>
          <w:szCs w:val="24"/>
        </w:rPr>
        <w:t>Colony</w:t>
      </w:r>
      <w:proofErr w:type="spellEnd"/>
      <w:r w:rsidR="004574F0">
        <w:rPr>
          <w:rFonts w:ascii="Arial" w:hAnsi="Arial" w:cs="Arial"/>
          <w:sz w:val="24"/>
          <w:szCs w:val="24"/>
        </w:rPr>
        <w:t xml:space="preserve"> Capital au sein du groupe ACCOR, il n’en demeure pas moins que, par son inaction</w:t>
      </w:r>
      <w:r w:rsidR="004268BE">
        <w:rPr>
          <w:rFonts w:ascii="Arial" w:hAnsi="Arial" w:cs="Arial"/>
          <w:sz w:val="24"/>
          <w:szCs w:val="24"/>
        </w:rPr>
        <w:t xml:space="preserve"> (alors qu’il avait à disposition des </w:t>
      </w:r>
      <w:r w:rsidR="00D37AEB">
        <w:rPr>
          <w:rFonts w:ascii="Arial" w:hAnsi="Arial" w:cs="Arial"/>
          <w:sz w:val="24"/>
          <w:szCs w:val="24"/>
        </w:rPr>
        <w:t>mécanismes financiers pour</w:t>
      </w:r>
      <w:r w:rsidR="00BF12DC">
        <w:rPr>
          <w:rFonts w:ascii="Arial" w:hAnsi="Arial" w:cs="Arial"/>
          <w:sz w:val="24"/>
          <w:szCs w:val="24"/>
        </w:rPr>
        <w:t xml:space="preserve"> </w:t>
      </w:r>
      <w:r w:rsidR="00D37AEB">
        <w:rPr>
          <w:rFonts w:ascii="Arial" w:hAnsi="Arial" w:cs="Arial"/>
          <w:sz w:val="24"/>
          <w:szCs w:val="24"/>
        </w:rPr>
        <w:t>contrer les deux fonds)</w:t>
      </w:r>
      <w:r w:rsidR="009548A6">
        <w:rPr>
          <w:rFonts w:ascii="Arial" w:hAnsi="Arial" w:cs="Arial"/>
          <w:sz w:val="24"/>
          <w:szCs w:val="24"/>
        </w:rPr>
        <w:t xml:space="preserve">, il </w:t>
      </w:r>
      <w:r w:rsidR="009548A6">
        <w:rPr>
          <w:rFonts w:ascii="Arial" w:hAnsi="Arial" w:cs="Arial"/>
          <w:sz w:val="24"/>
          <w:szCs w:val="24"/>
        </w:rPr>
        <w:lastRenderedPageBreak/>
        <w:t>aurait ainsi donné</w:t>
      </w:r>
      <w:r w:rsidR="001433F2">
        <w:rPr>
          <w:rFonts w:ascii="Arial" w:hAnsi="Arial" w:cs="Arial"/>
          <w:sz w:val="24"/>
          <w:szCs w:val="24"/>
        </w:rPr>
        <w:t>,</w:t>
      </w:r>
      <w:r w:rsidR="009548A6">
        <w:rPr>
          <w:rFonts w:ascii="Arial" w:hAnsi="Arial" w:cs="Arial"/>
          <w:sz w:val="24"/>
          <w:szCs w:val="24"/>
        </w:rPr>
        <w:t xml:space="preserve"> </w:t>
      </w:r>
      <w:r w:rsidR="001433F2">
        <w:rPr>
          <w:rFonts w:ascii="Arial" w:hAnsi="Arial" w:cs="Arial"/>
          <w:sz w:val="24"/>
          <w:szCs w:val="24"/>
        </w:rPr>
        <w:t xml:space="preserve">aux deux investisseurs institutionnels, </w:t>
      </w:r>
      <w:r w:rsidR="007F2CF8">
        <w:rPr>
          <w:rFonts w:ascii="Arial" w:hAnsi="Arial" w:cs="Arial"/>
          <w:sz w:val="24"/>
          <w:szCs w:val="24"/>
        </w:rPr>
        <w:t>une sorte de</w:t>
      </w:r>
      <w:r w:rsidR="009548A6">
        <w:rPr>
          <w:rFonts w:ascii="Arial" w:hAnsi="Arial" w:cs="Arial"/>
          <w:sz w:val="24"/>
          <w:szCs w:val="24"/>
        </w:rPr>
        <w:t xml:space="preserve"> blanc-seing</w:t>
      </w:r>
      <w:r w:rsidR="00C25480">
        <w:rPr>
          <w:rFonts w:ascii="Arial" w:hAnsi="Arial" w:cs="Arial"/>
          <w:sz w:val="24"/>
          <w:szCs w:val="24"/>
        </w:rPr>
        <w:t xml:space="preserve"> </w:t>
      </w:r>
      <w:r w:rsidR="006F2768">
        <w:rPr>
          <w:rFonts w:ascii="Arial" w:hAnsi="Arial" w:cs="Arial"/>
          <w:sz w:val="24"/>
          <w:szCs w:val="24"/>
        </w:rPr>
        <w:t xml:space="preserve">et de laisser-faire </w:t>
      </w:r>
      <w:r w:rsidR="007F2CF8">
        <w:rPr>
          <w:rFonts w:ascii="Arial" w:hAnsi="Arial" w:cs="Arial"/>
          <w:sz w:val="24"/>
          <w:szCs w:val="24"/>
        </w:rPr>
        <w:t>étatique</w:t>
      </w:r>
      <w:r w:rsidR="006F2768">
        <w:rPr>
          <w:rFonts w:ascii="Arial" w:hAnsi="Arial" w:cs="Arial"/>
          <w:sz w:val="24"/>
          <w:szCs w:val="24"/>
        </w:rPr>
        <w:t>s</w:t>
      </w:r>
      <w:r w:rsidR="007F2CF8">
        <w:rPr>
          <w:rFonts w:ascii="Arial" w:hAnsi="Arial" w:cs="Arial"/>
          <w:sz w:val="24"/>
          <w:szCs w:val="24"/>
        </w:rPr>
        <w:t xml:space="preserve"> </w:t>
      </w:r>
      <w:r w:rsidR="00C25480">
        <w:rPr>
          <w:rFonts w:ascii="Arial" w:hAnsi="Arial" w:cs="Arial"/>
          <w:sz w:val="24"/>
          <w:szCs w:val="24"/>
        </w:rPr>
        <w:t>à la restructuration du groupe.</w:t>
      </w:r>
      <w:r w:rsidR="009548A6">
        <w:rPr>
          <w:rFonts w:ascii="Arial" w:hAnsi="Arial" w:cs="Arial"/>
          <w:sz w:val="24"/>
          <w:szCs w:val="24"/>
        </w:rPr>
        <w:t xml:space="preserve"> </w:t>
      </w:r>
    </w:p>
    <w:p w14:paraId="708758E8" w14:textId="77777777" w:rsidR="001B6CCE" w:rsidRPr="00970492" w:rsidRDefault="001B6CCE" w:rsidP="001B6CCE">
      <w:pPr>
        <w:pStyle w:val="Paragraphedeliste"/>
        <w:spacing w:line="240" w:lineRule="auto"/>
        <w:ind w:left="1440"/>
        <w:jc w:val="both"/>
        <w:rPr>
          <w:rFonts w:ascii="Arial" w:hAnsi="Arial" w:cs="Arial"/>
          <w:sz w:val="24"/>
          <w:szCs w:val="24"/>
          <w:u w:val="single"/>
        </w:rPr>
      </w:pPr>
    </w:p>
    <w:p w14:paraId="3F6C7831" w14:textId="6CE1B609" w:rsidR="00970492" w:rsidRDefault="00970492" w:rsidP="00177EA6">
      <w:pPr>
        <w:pStyle w:val="Paragraphedeliste"/>
        <w:numPr>
          <w:ilvl w:val="1"/>
          <w:numId w:val="1"/>
        </w:numPr>
        <w:spacing w:line="240" w:lineRule="auto"/>
        <w:jc w:val="both"/>
        <w:rPr>
          <w:rFonts w:ascii="Arial" w:hAnsi="Arial" w:cs="Arial"/>
          <w:sz w:val="24"/>
          <w:szCs w:val="24"/>
          <w:u w:val="single"/>
        </w:rPr>
      </w:pPr>
      <w:r w:rsidRPr="00970492">
        <w:rPr>
          <w:rFonts w:ascii="Arial" w:hAnsi="Arial" w:cs="Arial"/>
          <w:sz w:val="24"/>
          <w:szCs w:val="24"/>
          <w:u w:val="single"/>
        </w:rPr>
        <w:t>Le cas du groupe Lagardère et l’orchestration de l’activisme institutionnel</w:t>
      </w:r>
    </w:p>
    <w:p w14:paraId="799845ED" w14:textId="36851DB0" w:rsidR="000F22A3" w:rsidRDefault="00B61C77" w:rsidP="000F22A3">
      <w:pPr>
        <w:spacing w:line="240" w:lineRule="auto"/>
        <w:ind w:left="720"/>
        <w:jc w:val="both"/>
        <w:rPr>
          <w:rFonts w:ascii="Arial" w:hAnsi="Arial" w:cs="Arial"/>
          <w:sz w:val="24"/>
          <w:szCs w:val="24"/>
        </w:rPr>
      </w:pPr>
      <w:r w:rsidRPr="00B61C77">
        <w:rPr>
          <w:rFonts w:ascii="Arial" w:hAnsi="Arial" w:cs="Arial"/>
          <w:sz w:val="24"/>
          <w:szCs w:val="24"/>
        </w:rPr>
        <w:t xml:space="preserve">Même si le développement du groupe </w:t>
      </w:r>
      <w:r>
        <w:rPr>
          <w:rFonts w:ascii="Arial" w:hAnsi="Arial" w:cs="Arial"/>
          <w:sz w:val="24"/>
          <w:szCs w:val="24"/>
        </w:rPr>
        <w:t>s’est opéré au départ d</w:t>
      </w:r>
      <w:r w:rsidR="008824E6">
        <w:rPr>
          <w:rFonts w:ascii="Arial" w:hAnsi="Arial" w:cs="Arial"/>
          <w:sz w:val="24"/>
          <w:szCs w:val="24"/>
        </w:rPr>
        <w:t>u secteur aéronautique (MATRA et EADS)</w:t>
      </w:r>
      <w:r w:rsidR="00004EEB">
        <w:rPr>
          <w:rFonts w:ascii="Arial" w:hAnsi="Arial" w:cs="Arial"/>
          <w:sz w:val="24"/>
          <w:szCs w:val="24"/>
        </w:rPr>
        <w:t xml:space="preserve">, </w:t>
      </w:r>
      <w:r w:rsidR="008824E6">
        <w:rPr>
          <w:rFonts w:ascii="Arial" w:hAnsi="Arial" w:cs="Arial"/>
          <w:sz w:val="24"/>
          <w:szCs w:val="24"/>
        </w:rPr>
        <w:t xml:space="preserve">de l’audiovisuel </w:t>
      </w:r>
      <w:r w:rsidR="00D6739C">
        <w:rPr>
          <w:rFonts w:ascii="Arial" w:hAnsi="Arial" w:cs="Arial"/>
          <w:sz w:val="24"/>
          <w:szCs w:val="24"/>
        </w:rPr>
        <w:t>(</w:t>
      </w:r>
      <w:r w:rsidR="008824E6">
        <w:rPr>
          <w:rFonts w:ascii="Arial" w:hAnsi="Arial" w:cs="Arial"/>
          <w:sz w:val="24"/>
          <w:szCs w:val="24"/>
        </w:rPr>
        <w:t>TF1)</w:t>
      </w:r>
      <w:r w:rsidR="00004EEB">
        <w:rPr>
          <w:rFonts w:ascii="Arial" w:hAnsi="Arial" w:cs="Arial"/>
          <w:sz w:val="24"/>
          <w:szCs w:val="24"/>
        </w:rPr>
        <w:t xml:space="preserve"> et de la vision d</w:t>
      </w:r>
      <w:r w:rsidR="00864DF7">
        <w:rPr>
          <w:rFonts w:ascii="Arial" w:hAnsi="Arial" w:cs="Arial"/>
          <w:sz w:val="24"/>
          <w:szCs w:val="24"/>
        </w:rPr>
        <w:t>u père d’Arnaud Lagardère</w:t>
      </w:r>
      <w:r w:rsidR="008824E6">
        <w:rPr>
          <w:rFonts w:ascii="Arial" w:hAnsi="Arial" w:cs="Arial"/>
          <w:sz w:val="24"/>
          <w:szCs w:val="24"/>
        </w:rPr>
        <w:t xml:space="preserve">, les nombreuses restructurations de l’entreprise ont conduit </w:t>
      </w:r>
      <w:r w:rsidR="00615D6F">
        <w:rPr>
          <w:rFonts w:ascii="Arial" w:hAnsi="Arial" w:cs="Arial"/>
          <w:sz w:val="24"/>
          <w:szCs w:val="24"/>
        </w:rPr>
        <w:t xml:space="preserve">à partir de 2013 </w:t>
      </w:r>
      <w:r w:rsidR="008824E6">
        <w:rPr>
          <w:rFonts w:ascii="Arial" w:hAnsi="Arial" w:cs="Arial"/>
          <w:sz w:val="24"/>
          <w:szCs w:val="24"/>
        </w:rPr>
        <w:t xml:space="preserve">à </w:t>
      </w:r>
      <w:r w:rsidR="00BC585E">
        <w:rPr>
          <w:rFonts w:ascii="Arial" w:hAnsi="Arial" w:cs="Arial"/>
          <w:sz w:val="24"/>
          <w:szCs w:val="24"/>
        </w:rPr>
        <w:t>l’adoption d’</w:t>
      </w:r>
      <w:r w:rsidR="008824E6">
        <w:rPr>
          <w:rFonts w:ascii="Arial" w:hAnsi="Arial" w:cs="Arial"/>
          <w:sz w:val="24"/>
          <w:szCs w:val="24"/>
        </w:rPr>
        <w:t>une architecture stratégique</w:t>
      </w:r>
      <w:r w:rsidR="003A46B9">
        <w:rPr>
          <w:rFonts w:ascii="Arial" w:hAnsi="Arial" w:cs="Arial"/>
          <w:sz w:val="24"/>
          <w:szCs w:val="24"/>
        </w:rPr>
        <w:t xml:space="preserve"> construite autour de </w:t>
      </w:r>
      <w:r w:rsidRPr="00B61C77">
        <w:rPr>
          <w:rFonts w:ascii="Arial" w:hAnsi="Arial" w:cs="Arial"/>
          <w:sz w:val="24"/>
          <w:szCs w:val="24"/>
        </w:rPr>
        <w:t xml:space="preserve">l’édition (Lagardère </w:t>
      </w:r>
      <w:proofErr w:type="spellStart"/>
      <w:r w:rsidRPr="00B61C77">
        <w:rPr>
          <w:rFonts w:ascii="Arial" w:hAnsi="Arial" w:cs="Arial"/>
          <w:sz w:val="24"/>
          <w:szCs w:val="24"/>
        </w:rPr>
        <w:t>Publishing</w:t>
      </w:r>
      <w:proofErr w:type="spellEnd"/>
      <w:r w:rsidRPr="00B61C77">
        <w:rPr>
          <w:rFonts w:ascii="Arial" w:hAnsi="Arial" w:cs="Arial"/>
          <w:sz w:val="24"/>
          <w:szCs w:val="24"/>
        </w:rPr>
        <w:t>) et le commerce de détail de voyage</w:t>
      </w:r>
      <w:r w:rsidR="003A46B9">
        <w:rPr>
          <w:rFonts w:ascii="Arial" w:hAnsi="Arial" w:cs="Arial"/>
          <w:sz w:val="24"/>
          <w:szCs w:val="24"/>
        </w:rPr>
        <w:t xml:space="preserve"> (</w:t>
      </w:r>
      <w:r w:rsidRPr="00B61C77">
        <w:rPr>
          <w:rFonts w:ascii="Arial" w:hAnsi="Arial" w:cs="Arial"/>
          <w:sz w:val="24"/>
          <w:szCs w:val="24"/>
        </w:rPr>
        <w:t>tout en conservant le contrôle de Paris Match</w:t>
      </w:r>
      <w:r w:rsidR="003A46B9">
        <w:rPr>
          <w:rFonts w:ascii="Arial" w:hAnsi="Arial" w:cs="Arial"/>
          <w:sz w:val="24"/>
          <w:szCs w:val="24"/>
        </w:rPr>
        <w:t xml:space="preserve">, </w:t>
      </w:r>
      <w:r w:rsidRPr="00B61C77">
        <w:rPr>
          <w:rFonts w:ascii="Arial" w:hAnsi="Arial" w:cs="Arial"/>
          <w:sz w:val="24"/>
          <w:szCs w:val="24"/>
        </w:rPr>
        <w:t>du JDD ainsi que celui de plusieurs salles de spectacles de renom</w:t>
      </w:r>
      <w:r w:rsidR="003A46B9">
        <w:rPr>
          <w:rFonts w:ascii="Arial" w:hAnsi="Arial" w:cs="Arial"/>
          <w:sz w:val="24"/>
          <w:szCs w:val="24"/>
        </w:rPr>
        <w:t>).</w:t>
      </w:r>
      <w:r w:rsidR="00246635">
        <w:rPr>
          <w:rFonts w:ascii="Arial" w:hAnsi="Arial" w:cs="Arial"/>
          <w:sz w:val="24"/>
          <w:szCs w:val="24"/>
        </w:rPr>
        <w:t xml:space="preserve"> Tout comme le groupe ACCOR, le business model de Lagardère</w:t>
      </w:r>
      <w:r w:rsidR="00D95A8D">
        <w:rPr>
          <w:rFonts w:ascii="Arial" w:hAnsi="Arial" w:cs="Arial"/>
          <w:sz w:val="24"/>
          <w:szCs w:val="24"/>
        </w:rPr>
        <w:t xml:space="preserve"> est architecturé autour de pôles d’activités peu reliées</w:t>
      </w:r>
      <w:r w:rsidR="004C140E">
        <w:rPr>
          <w:rFonts w:ascii="Arial" w:hAnsi="Arial" w:cs="Arial"/>
          <w:sz w:val="24"/>
          <w:szCs w:val="24"/>
        </w:rPr>
        <w:t xml:space="preserve"> facilitant un éventuel démembrement.</w:t>
      </w:r>
    </w:p>
    <w:p w14:paraId="559434AD" w14:textId="15F46035" w:rsidR="00D45826" w:rsidRDefault="00670D00" w:rsidP="000F22A3">
      <w:pPr>
        <w:spacing w:line="240" w:lineRule="auto"/>
        <w:ind w:left="720"/>
        <w:jc w:val="both"/>
        <w:rPr>
          <w:rFonts w:ascii="Arial" w:hAnsi="Arial" w:cs="Arial"/>
          <w:sz w:val="24"/>
          <w:szCs w:val="24"/>
        </w:rPr>
      </w:pPr>
      <w:r>
        <w:rPr>
          <w:rFonts w:ascii="Arial" w:hAnsi="Arial" w:cs="Arial"/>
          <w:sz w:val="24"/>
          <w:szCs w:val="24"/>
        </w:rPr>
        <w:t>Tout d’abord, c</w:t>
      </w:r>
      <w:r w:rsidR="00D45826">
        <w:rPr>
          <w:rFonts w:ascii="Arial" w:hAnsi="Arial" w:cs="Arial"/>
          <w:sz w:val="24"/>
          <w:szCs w:val="24"/>
        </w:rPr>
        <w:t>ontrairement au cas du groupe ACCOR, les mouvements sur le capital</w:t>
      </w:r>
      <w:r w:rsidR="00024464">
        <w:rPr>
          <w:rFonts w:ascii="Arial" w:hAnsi="Arial" w:cs="Arial"/>
          <w:sz w:val="24"/>
          <w:szCs w:val="24"/>
        </w:rPr>
        <w:t xml:space="preserve"> de Lagardère </w:t>
      </w:r>
      <w:r>
        <w:rPr>
          <w:rFonts w:ascii="Arial" w:hAnsi="Arial" w:cs="Arial"/>
          <w:sz w:val="24"/>
          <w:szCs w:val="24"/>
        </w:rPr>
        <w:t xml:space="preserve">et les manœuvres activistes </w:t>
      </w:r>
      <w:r w:rsidR="00024464">
        <w:rPr>
          <w:rFonts w:ascii="Arial" w:hAnsi="Arial" w:cs="Arial"/>
          <w:sz w:val="24"/>
          <w:szCs w:val="24"/>
        </w:rPr>
        <w:t>vont s’opérer sur un intervalle de temps beaucoup plus court.</w:t>
      </w:r>
      <w:r>
        <w:rPr>
          <w:rFonts w:ascii="Arial" w:hAnsi="Arial" w:cs="Arial"/>
          <w:sz w:val="24"/>
          <w:szCs w:val="24"/>
        </w:rPr>
        <w:t xml:space="preserve"> Ensuite, </w:t>
      </w:r>
      <w:r w:rsidR="00DB03EE">
        <w:rPr>
          <w:rFonts w:ascii="Arial" w:hAnsi="Arial" w:cs="Arial"/>
          <w:sz w:val="24"/>
          <w:szCs w:val="24"/>
        </w:rPr>
        <w:t xml:space="preserve">dans le cas de </w:t>
      </w:r>
      <w:r w:rsidR="00C73007">
        <w:rPr>
          <w:rFonts w:ascii="Arial" w:hAnsi="Arial" w:cs="Arial"/>
          <w:sz w:val="24"/>
          <w:szCs w:val="24"/>
        </w:rPr>
        <w:t xml:space="preserve">Lagardère, des forces capitalistiques vont apparemment essayer de contrer les velléités </w:t>
      </w:r>
      <w:r w:rsidR="00F81E29">
        <w:rPr>
          <w:rFonts w:ascii="Arial" w:hAnsi="Arial" w:cs="Arial"/>
          <w:sz w:val="24"/>
          <w:szCs w:val="24"/>
        </w:rPr>
        <w:t>activistes des institutionnels.</w:t>
      </w:r>
      <w:r w:rsidR="00BD353A">
        <w:rPr>
          <w:rFonts w:ascii="Arial" w:hAnsi="Arial" w:cs="Arial"/>
          <w:sz w:val="24"/>
          <w:szCs w:val="24"/>
        </w:rPr>
        <w:t xml:space="preserve"> </w:t>
      </w:r>
      <w:r w:rsidR="00FE1BB7">
        <w:rPr>
          <w:rFonts w:ascii="Arial" w:hAnsi="Arial" w:cs="Arial"/>
          <w:sz w:val="24"/>
          <w:szCs w:val="24"/>
        </w:rPr>
        <w:t>E</w:t>
      </w:r>
      <w:r w:rsidR="00BD353A">
        <w:rPr>
          <w:rFonts w:ascii="Arial" w:hAnsi="Arial" w:cs="Arial"/>
          <w:sz w:val="24"/>
          <w:szCs w:val="24"/>
        </w:rPr>
        <w:t>n</w:t>
      </w:r>
      <w:r w:rsidR="00FE1BB7">
        <w:rPr>
          <w:rFonts w:ascii="Arial" w:hAnsi="Arial" w:cs="Arial"/>
          <w:sz w:val="24"/>
          <w:szCs w:val="24"/>
        </w:rPr>
        <w:t xml:space="preserve">fin, </w:t>
      </w:r>
      <w:r w:rsidR="00194351">
        <w:rPr>
          <w:rFonts w:ascii="Arial" w:hAnsi="Arial" w:cs="Arial"/>
          <w:sz w:val="24"/>
          <w:szCs w:val="24"/>
        </w:rPr>
        <w:t>l’investisseur institutionnel pén</w:t>
      </w:r>
      <w:r w:rsidR="005D48BF">
        <w:rPr>
          <w:rFonts w:ascii="Arial" w:hAnsi="Arial" w:cs="Arial"/>
          <w:sz w:val="24"/>
          <w:szCs w:val="24"/>
        </w:rPr>
        <w:t xml:space="preserve">ètre un univers capitalistique peu </w:t>
      </w:r>
      <w:r w:rsidR="00A37EAD">
        <w:rPr>
          <w:rFonts w:ascii="Arial" w:hAnsi="Arial" w:cs="Arial"/>
          <w:sz w:val="24"/>
          <w:szCs w:val="24"/>
        </w:rPr>
        <w:t>réceptif</w:t>
      </w:r>
      <w:r w:rsidR="00F8148F">
        <w:rPr>
          <w:rFonts w:ascii="Arial" w:hAnsi="Arial" w:cs="Arial"/>
          <w:sz w:val="24"/>
          <w:szCs w:val="24"/>
        </w:rPr>
        <w:t xml:space="preserve"> à une remise en cause de ces routines stratégiques.</w:t>
      </w:r>
      <w:r w:rsidR="00006359">
        <w:rPr>
          <w:rFonts w:ascii="Arial" w:hAnsi="Arial" w:cs="Arial"/>
          <w:sz w:val="24"/>
          <w:szCs w:val="24"/>
        </w:rPr>
        <w:t xml:space="preserve"> A ce niveau, plusieurs précisions doivent être effectuées :</w:t>
      </w:r>
    </w:p>
    <w:p w14:paraId="5421C0C5" w14:textId="62AA9EEA" w:rsidR="00BD065D" w:rsidRDefault="00B8071B" w:rsidP="00B8071B">
      <w:pPr>
        <w:pStyle w:val="Paragraphedeliste"/>
        <w:numPr>
          <w:ilvl w:val="0"/>
          <w:numId w:val="7"/>
        </w:numPr>
        <w:jc w:val="both"/>
        <w:rPr>
          <w:rFonts w:ascii="Arial" w:hAnsi="Arial" w:cs="Arial"/>
          <w:sz w:val="24"/>
          <w:szCs w:val="24"/>
          <w:lang w:val="fr-FR"/>
        </w:rPr>
      </w:pPr>
      <w:r w:rsidRPr="00B8071B">
        <w:rPr>
          <w:rFonts w:ascii="Arial" w:hAnsi="Arial" w:cs="Arial"/>
          <w:sz w:val="24"/>
          <w:szCs w:val="24"/>
          <w:lang w:val="fr-FR"/>
        </w:rPr>
        <w:t>Le groupe possède la forme juridique de Société de Commandite par Actions. Le statut de Commandite par Actions permet à un des actionnaires, appelé “</w:t>
      </w:r>
      <w:proofErr w:type="gramStart"/>
      <w:r w:rsidRPr="00B8071B">
        <w:rPr>
          <w:rFonts w:ascii="Arial" w:hAnsi="Arial" w:cs="Arial"/>
          <w:sz w:val="24"/>
          <w:szCs w:val="24"/>
          <w:lang w:val="fr-FR"/>
        </w:rPr>
        <w:t>commandité</w:t>
      </w:r>
      <w:proofErr w:type="gramEnd"/>
      <w:r w:rsidRPr="00B8071B">
        <w:rPr>
          <w:rFonts w:ascii="Arial" w:hAnsi="Arial" w:cs="Arial"/>
          <w:sz w:val="24"/>
          <w:szCs w:val="24"/>
          <w:lang w:val="fr-FR"/>
        </w:rPr>
        <w:t>”, de contrôler le groupe quel que soit le nombre d’actions détenues</w:t>
      </w:r>
      <w:r w:rsidR="00D67BD8">
        <w:rPr>
          <w:rFonts w:ascii="Arial" w:hAnsi="Arial" w:cs="Arial"/>
          <w:sz w:val="24"/>
          <w:szCs w:val="24"/>
          <w:lang w:val="fr-FR"/>
        </w:rPr>
        <w:t xml:space="preserve"> (Arnaud La</w:t>
      </w:r>
      <w:r w:rsidR="00A75CD8">
        <w:rPr>
          <w:rFonts w:ascii="Arial" w:hAnsi="Arial" w:cs="Arial"/>
          <w:sz w:val="24"/>
          <w:szCs w:val="24"/>
          <w:lang w:val="fr-FR"/>
        </w:rPr>
        <w:t>gardère ne contrôle que 7,26% du capital)</w:t>
      </w:r>
      <w:r w:rsidRPr="00B8071B">
        <w:rPr>
          <w:rFonts w:ascii="Arial" w:hAnsi="Arial" w:cs="Arial"/>
          <w:sz w:val="24"/>
          <w:szCs w:val="24"/>
          <w:lang w:val="fr-FR"/>
        </w:rPr>
        <w:t xml:space="preserve">, en contrepartie d'une responsabilité sur ses biens propres. La commandite permet de dissocier la propriété du capital et la détention du pouvoir via l'existence de deux types d'actionnaires : les commandités et les commanditaires. Chez Lagardère, les commandités sont Arnaud Lagardère et une holding qu'il détient, Lagardère Capital &amp; Management (LCM), c’est donc à ces niveaux-là que se situent les </w:t>
      </w:r>
      <w:r w:rsidR="00441CE7">
        <w:rPr>
          <w:rFonts w:ascii="Arial" w:hAnsi="Arial" w:cs="Arial"/>
          <w:sz w:val="24"/>
          <w:szCs w:val="24"/>
          <w:lang w:val="fr-FR"/>
        </w:rPr>
        <w:t xml:space="preserve">réels </w:t>
      </w:r>
      <w:r w:rsidRPr="00B8071B">
        <w:rPr>
          <w:rFonts w:ascii="Arial" w:hAnsi="Arial" w:cs="Arial"/>
          <w:sz w:val="24"/>
          <w:szCs w:val="24"/>
          <w:lang w:val="fr-FR"/>
        </w:rPr>
        <w:t>nœuds de pouvoir</w:t>
      </w:r>
      <w:r w:rsidR="00BD065D">
        <w:rPr>
          <w:rFonts w:ascii="Arial" w:hAnsi="Arial" w:cs="Arial"/>
          <w:sz w:val="24"/>
          <w:szCs w:val="24"/>
          <w:lang w:val="fr-FR"/>
        </w:rPr>
        <w:t> ;</w:t>
      </w:r>
    </w:p>
    <w:p w14:paraId="35AB2FFF" w14:textId="569D009B" w:rsidR="00A31DC2" w:rsidRPr="008F0190" w:rsidRDefault="00BD065D" w:rsidP="008F0190">
      <w:pPr>
        <w:pStyle w:val="Paragraphedeliste"/>
        <w:numPr>
          <w:ilvl w:val="0"/>
          <w:numId w:val="7"/>
        </w:numPr>
        <w:jc w:val="both"/>
        <w:rPr>
          <w:rFonts w:ascii="Arial" w:hAnsi="Arial" w:cs="Arial"/>
          <w:sz w:val="24"/>
          <w:szCs w:val="24"/>
          <w:lang w:val="fr-FR"/>
        </w:rPr>
      </w:pPr>
      <w:r>
        <w:rPr>
          <w:rFonts w:ascii="Arial" w:hAnsi="Arial" w:cs="Arial"/>
          <w:sz w:val="24"/>
          <w:szCs w:val="24"/>
          <w:lang w:val="fr-FR"/>
        </w:rPr>
        <w:t xml:space="preserve">Dans cette optique, la question pour l’exercice de l’activisme </w:t>
      </w:r>
      <w:r w:rsidR="001B4346">
        <w:rPr>
          <w:rFonts w:ascii="Arial" w:hAnsi="Arial" w:cs="Arial"/>
          <w:sz w:val="24"/>
          <w:szCs w:val="24"/>
          <w:lang w:val="fr-FR"/>
        </w:rPr>
        <w:t xml:space="preserve">est plus la </w:t>
      </w:r>
      <w:r w:rsidR="00E55586">
        <w:rPr>
          <w:rFonts w:ascii="Arial" w:hAnsi="Arial" w:cs="Arial"/>
          <w:sz w:val="24"/>
          <w:szCs w:val="24"/>
          <w:lang w:val="fr-FR"/>
        </w:rPr>
        <w:t>modification de la fo</w:t>
      </w:r>
      <w:r w:rsidR="0061097E">
        <w:rPr>
          <w:rFonts w:ascii="Arial" w:hAnsi="Arial" w:cs="Arial"/>
          <w:sz w:val="24"/>
          <w:szCs w:val="24"/>
          <w:lang w:val="fr-FR"/>
        </w:rPr>
        <w:t>r</w:t>
      </w:r>
      <w:r w:rsidR="00E55586">
        <w:rPr>
          <w:rFonts w:ascii="Arial" w:hAnsi="Arial" w:cs="Arial"/>
          <w:sz w:val="24"/>
          <w:szCs w:val="24"/>
          <w:lang w:val="fr-FR"/>
        </w:rPr>
        <w:t xml:space="preserve">me sociétale du groupe que la possession de capital. </w:t>
      </w:r>
      <w:r w:rsidR="00994A4E">
        <w:rPr>
          <w:rFonts w:ascii="Arial" w:hAnsi="Arial" w:cs="Arial"/>
          <w:sz w:val="24"/>
          <w:szCs w:val="24"/>
          <w:lang w:val="fr-FR"/>
        </w:rPr>
        <w:t xml:space="preserve">En </w:t>
      </w:r>
      <w:r w:rsidR="00F15498">
        <w:rPr>
          <w:rFonts w:ascii="Arial" w:hAnsi="Arial" w:cs="Arial"/>
          <w:sz w:val="24"/>
          <w:szCs w:val="24"/>
          <w:lang w:val="fr-FR"/>
        </w:rPr>
        <w:t>filigrane de l’activisme</w:t>
      </w:r>
      <w:r w:rsidR="00994A4E">
        <w:rPr>
          <w:rFonts w:ascii="Arial" w:hAnsi="Arial" w:cs="Arial"/>
          <w:sz w:val="24"/>
          <w:szCs w:val="24"/>
          <w:lang w:val="fr-FR"/>
        </w:rPr>
        <w:t xml:space="preserve">, </w:t>
      </w:r>
      <w:r w:rsidR="0061097E">
        <w:rPr>
          <w:rFonts w:ascii="Arial" w:hAnsi="Arial" w:cs="Arial"/>
          <w:sz w:val="24"/>
          <w:szCs w:val="24"/>
          <w:lang w:val="fr-FR"/>
        </w:rPr>
        <w:t>il s’agirait de déloger Arn</w:t>
      </w:r>
      <w:r w:rsidR="00E40A44">
        <w:rPr>
          <w:rFonts w:ascii="Arial" w:hAnsi="Arial" w:cs="Arial"/>
          <w:sz w:val="24"/>
          <w:szCs w:val="24"/>
          <w:lang w:val="fr-FR"/>
        </w:rPr>
        <w:t>a</w:t>
      </w:r>
      <w:r w:rsidR="0061097E">
        <w:rPr>
          <w:rFonts w:ascii="Arial" w:hAnsi="Arial" w:cs="Arial"/>
          <w:sz w:val="24"/>
          <w:szCs w:val="24"/>
          <w:lang w:val="fr-FR"/>
        </w:rPr>
        <w:t xml:space="preserve">ud Lagardère, gardien de la formule </w:t>
      </w:r>
      <w:r w:rsidR="00E40A44">
        <w:rPr>
          <w:rFonts w:ascii="Arial" w:hAnsi="Arial" w:cs="Arial"/>
          <w:sz w:val="24"/>
          <w:szCs w:val="24"/>
          <w:lang w:val="fr-FR"/>
        </w:rPr>
        <w:t>juridique du groupe ;</w:t>
      </w:r>
    </w:p>
    <w:p w14:paraId="47FA87AC" w14:textId="6627F630" w:rsidR="00A31DC2" w:rsidRPr="00DC0E82" w:rsidRDefault="00CA4E2C" w:rsidP="00A31DC2">
      <w:pPr>
        <w:pStyle w:val="Paragraphedeliste"/>
        <w:numPr>
          <w:ilvl w:val="0"/>
          <w:numId w:val="7"/>
        </w:numPr>
        <w:jc w:val="both"/>
        <w:rPr>
          <w:rFonts w:ascii="Arial" w:hAnsi="Arial" w:cs="Arial"/>
          <w:sz w:val="24"/>
          <w:szCs w:val="24"/>
          <w:lang w:val="fr-FR"/>
        </w:rPr>
      </w:pPr>
      <w:r w:rsidRPr="00DC0E82">
        <w:rPr>
          <w:rFonts w:ascii="Arial" w:eastAsia="Times New Roman" w:hAnsi="Arial" w:cs="Arial"/>
          <w:sz w:val="24"/>
          <w:szCs w:val="24"/>
          <w:lang w:eastAsia="fr-BE"/>
        </w:rPr>
        <w:t>En référence au relevé des différentes définitions de l’entre</w:t>
      </w:r>
      <w:r w:rsidR="00A31DC2" w:rsidRPr="00DC0E82">
        <w:rPr>
          <w:rFonts w:ascii="Arial" w:eastAsia="Times New Roman" w:hAnsi="Arial" w:cs="Arial"/>
          <w:sz w:val="24"/>
          <w:szCs w:val="24"/>
          <w:lang w:eastAsia="fr-BE"/>
        </w:rPr>
        <w:t xml:space="preserve">prise familiale </w:t>
      </w:r>
      <w:r w:rsidR="00DC0E82">
        <w:rPr>
          <w:rFonts w:ascii="Arial" w:eastAsia="Times New Roman" w:hAnsi="Arial" w:cs="Arial"/>
          <w:sz w:val="24"/>
          <w:szCs w:val="24"/>
          <w:lang w:eastAsia="fr-BE"/>
        </w:rPr>
        <w:t>(</w:t>
      </w:r>
      <w:r w:rsidR="006A2783">
        <w:rPr>
          <w:rFonts w:ascii="Arial" w:eastAsia="Times New Roman" w:hAnsi="Arial" w:cs="Arial"/>
          <w:sz w:val="24"/>
          <w:szCs w:val="24"/>
          <w:lang w:eastAsia="fr-BE"/>
        </w:rPr>
        <w:t>Allouche J., Amann B.,</w:t>
      </w:r>
      <w:r w:rsidR="000A6DE5">
        <w:rPr>
          <w:rFonts w:ascii="Arial" w:eastAsia="Times New Roman" w:hAnsi="Arial" w:cs="Arial"/>
          <w:sz w:val="24"/>
          <w:szCs w:val="24"/>
          <w:lang w:eastAsia="fr-BE"/>
        </w:rPr>
        <w:t>2000), nous assimilons le groupe Lagardère à</w:t>
      </w:r>
      <w:r w:rsidR="00A31DC2" w:rsidRPr="00DC0E82">
        <w:rPr>
          <w:rFonts w:ascii="Arial" w:eastAsia="Times New Roman" w:hAnsi="Arial" w:cs="Arial"/>
          <w:sz w:val="24"/>
          <w:szCs w:val="24"/>
          <w:lang w:eastAsia="fr-BE"/>
        </w:rPr>
        <w:t xml:space="preserve"> une entreprise </w:t>
      </w:r>
      <w:r w:rsidR="000A6DE5">
        <w:rPr>
          <w:rFonts w:ascii="Arial" w:eastAsia="Times New Roman" w:hAnsi="Arial" w:cs="Arial"/>
          <w:sz w:val="24"/>
          <w:szCs w:val="24"/>
          <w:lang w:eastAsia="fr-BE"/>
        </w:rPr>
        <w:t xml:space="preserve">aux contours </w:t>
      </w:r>
      <w:r w:rsidR="003469F1">
        <w:rPr>
          <w:rFonts w:ascii="Arial" w:eastAsia="Times New Roman" w:hAnsi="Arial" w:cs="Arial"/>
          <w:sz w:val="24"/>
          <w:szCs w:val="24"/>
          <w:lang w:eastAsia="fr-BE"/>
        </w:rPr>
        <w:t>familiaux</w:t>
      </w:r>
      <w:r w:rsidR="000A6DE5">
        <w:rPr>
          <w:rFonts w:ascii="Arial" w:eastAsia="Times New Roman" w:hAnsi="Arial" w:cs="Arial"/>
          <w:sz w:val="24"/>
          <w:szCs w:val="24"/>
          <w:lang w:eastAsia="fr-BE"/>
        </w:rPr>
        <w:t xml:space="preserve"> car </w:t>
      </w:r>
      <w:r w:rsidR="00A31DC2" w:rsidRPr="00DC0E82">
        <w:rPr>
          <w:rFonts w:ascii="Arial" w:eastAsia="Times New Roman" w:hAnsi="Arial" w:cs="Arial"/>
          <w:sz w:val="24"/>
          <w:szCs w:val="24"/>
          <w:lang w:eastAsia="fr-BE"/>
        </w:rPr>
        <w:t>détenue et dirigée par un membre d'une famille</w:t>
      </w:r>
      <w:r w:rsidR="00D23DAB">
        <w:rPr>
          <w:rFonts w:ascii="Arial" w:eastAsia="Times New Roman" w:hAnsi="Arial" w:cs="Arial"/>
          <w:sz w:val="24"/>
          <w:szCs w:val="24"/>
          <w:lang w:eastAsia="fr-BE"/>
        </w:rPr>
        <w:t xml:space="preserve"> </w:t>
      </w:r>
      <w:r w:rsidR="00C80EA0">
        <w:rPr>
          <w:rFonts w:ascii="Arial" w:eastAsia="Times New Roman" w:hAnsi="Arial" w:cs="Arial"/>
          <w:sz w:val="24"/>
          <w:szCs w:val="24"/>
          <w:lang w:eastAsia="fr-BE"/>
        </w:rPr>
        <w:t>;</w:t>
      </w:r>
    </w:p>
    <w:p w14:paraId="210E53C2" w14:textId="6137EDF2" w:rsidR="00EB07E2" w:rsidRDefault="009111C9" w:rsidP="00B8071B">
      <w:pPr>
        <w:pStyle w:val="Paragraphedeliste"/>
        <w:numPr>
          <w:ilvl w:val="0"/>
          <w:numId w:val="7"/>
        </w:numPr>
        <w:jc w:val="both"/>
        <w:rPr>
          <w:rFonts w:ascii="Arial" w:hAnsi="Arial" w:cs="Arial"/>
          <w:sz w:val="24"/>
          <w:szCs w:val="24"/>
          <w:lang w:val="fr-FR"/>
        </w:rPr>
      </w:pPr>
      <w:r>
        <w:rPr>
          <w:rFonts w:ascii="Arial" w:hAnsi="Arial" w:cs="Arial"/>
          <w:sz w:val="24"/>
          <w:szCs w:val="24"/>
          <w:lang w:val="fr-FR"/>
        </w:rPr>
        <w:t>L</w:t>
      </w:r>
      <w:r w:rsidRPr="009111C9">
        <w:rPr>
          <w:rFonts w:ascii="Arial" w:hAnsi="Arial" w:cs="Arial"/>
          <w:sz w:val="24"/>
          <w:szCs w:val="24"/>
          <w:lang w:val="fr-FR"/>
        </w:rPr>
        <w:t xml:space="preserve">e groupe avait déjà été soumis en 2010 à de l’activisme institutionnel par Guy </w:t>
      </w:r>
      <w:proofErr w:type="spellStart"/>
      <w:r w:rsidRPr="009111C9">
        <w:rPr>
          <w:rFonts w:ascii="Arial" w:hAnsi="Arial" w:cs="Arial"/>
          <w:sz w:val="24"/>
          <w:szCs w:val="24"/>
          <w:lang w:val="fr-FR"/>
        </w:rPr>
        <w:t>Wyser</w:t>
      </w:r>
      <w:proofErr w:type="spellEnd"/>
      <w:r w:rsidRPr="009111C9">
        <w:rPr>
          <w:rFonts w:ascii="Arial" w:hAnsi="Arial" w:cs="Arial"/>
          <w:sz w:val="24"/>
          <w:szCs w:val="24"/>
          <w:lang w:val="fr-FR"/>
        </w:rPr>
        <w:t>-Pratte qui avait qualifié de médiévale la formule de la Commandite par Actions. Les propositions d’évolution de la gouvernance de l’entreprise avaient été rejetées par les actionnaires en avril 2010.</w:t>
      </w:r>
    </w:p>
    <w:p w14:paraId="5984B56F" w14:textId="77777777" w:rsidR="00500321" w:rsidRDefault="00604061" w:rsidP="00952B65">
      <w:pPr>
        <w:ind w:left="708"/>
        <w:jc w:val="both"/>
        <w:rPr>
          <w:rFonts w:ascii="Arial" w:hAnsi="Arial" w:cs="Arial"/>
          <w:sz w:val="24"/>
          <w:szCs w:val="24"/>
          <w:lang w:val="fr-FR"/>
        </w:rPr>
      </w:pPr>
      <w:r>
        <w:rPr>
          <w:rFonts w:ascii="Arial" w:hAnsi="Arial" w:cs="Arial"/>
          <w:sz w:val="24"/>
          <w:szCs w:val="24"/>
          <w:lang w:val="fr-FR"/>
        </w:rPr>
        <w:t xml:space="preserve">Le fonds activiste britannique Amber Capital </w:t>
      </w:r>
      <w:r w:rsidR="00952B65" w:rsidRPr="00952B65">
        <w:rPr>
          <w:rFonts w:ascii="Arial" w:hAnsi="Arial" w:cs="Arial"/>
          <w:sz w:val="24"/>
          <w:szCs w:val="24"/>
          <w:lang w:val="fr-FR"/>
        </w:rPr>
        <w:t xml:space="preserve">s’est positionné une première fois dans la structure de propriété de Lagardère en 2011 et en est sorti en 2013 (au moment où Lagardère a revendu le solde de ses participations au sein d’EADS). </w:t>
      </w:r>
      <w:r w:rsidR="00952B65" w:rsidRPr="00952B65">
        <w:rPr>
          <w:rFonts w:ascii="Arial" w:hAnsi="Arial" w:cs="Arial"/>
          <w:sz w:val="24"/>
          <w:szCs w:val="24"/>
          <w:lang w:val="fr-FR"/>
        </w:rPr>
        <w:lastRenderedPageBreak/>
        <w:t>L’institutionnel se repositionna une seconde fois en 2016, en prenant 4% du capital</w:t>
      </w:r>
      <w:r w:rsidR="00762FFB">
        <w:rPr>
          <w:rFonts w:ascii="Arial" w:hAnsi="Arial" w:cs="Arial"/>
          <w:sz w:val="24"/>
          <w:szCs w:val="24"/>
          <w:lang w:val="fr-FR"/>
        </w:rPr>
        <w:t>.</w:t>
      </w:r>
    </w:p>
    <w:p w14:paraId="466949E1" w14:textId="3C212A4C" w:rsidR="00952B65" w:rsidRDefault="00F96671" w:rsidP="00952B65">
      <w:pPr>
        <w:ind w:left="708"/>
        <w:jc w:val="both"/>
        <w:rPr>
          <w:rFonts w:ascii="Arial" w:hAnsi="Arial" w:cs="Arial"/>
          <w:sz w:val="24"/>
          <w:szCs w:val="24"/>
          <w:lang w:val="fr-FR"/>
        </w:rPr>
      </w:pPr>
      <w:r w:rsidRPr="00F96671">
        <w:rPr>
          <w:rFonts w:ascii="Arial" w:hAnsi="Arial" w:cs="Arial"/>
          <w:sz w:val="24"/>
          <w:szCs w:val="24"/>
          <w:lang w:val="fr-FR"/>
        </w:rPr>
        <w:t>Amber est un acteur capitalistique bien connu sur la place boursière parisienne</w:t>
      </w:r>
      <w:r w:rsidR="009A588C">
        <w:rPr>
          <w:rFonts w:ascii="Arial" w:hAnsi="Arial" w:cs="Arial"/>
          <w:sz w:val="24"/>
          <w:szCs w:val="24"/>
          <w:lang w:val="fr-FR"/>
        </w:rPr>
        <w:t xml:space="preserve"> : </w:t>
      </w:r>
      <w:r w:rsidRPr="00F96671">
        <w:rPr>
          <w:rFonts w:ascii="Arial" w:hAnsi="Arial" w:cs="Arial"/>
          <w:sz w:val="24"/>
          <w:szCs w:val="24"/>
          <w:lang w:val="fr-FR"/>
        </w:rPr>
        <w:t>il possède des participations dans Solocal, Nexans, Total, Suez</w:t>
      </w:r>
      <w:r w:rsidR="009A588C">
        <w:rPr>
          <w:rFonts w:ascii="Arial" w:hAnsi="Arial" w:cs="Arial"/>
          <w:sz w:val="24"/>
          <w:szCs w:val="24"/>
          <w:lang w:val="fr-FR"/>
        </w:rPr>
        <w:t xml:space="preserve">, </w:t>
      </w:r>
      <w:r w:rsidRPr="00F96671">
        <w:rPr>
          <w:rFonts w:ascii="Arial" w:hAnsi="Arial" w:cs="Arial"/>
          <w:sz w:val="24"/>
          <w:szCs w:val="24"/>
          <w:lang w:val="fr-FR"/>
        </w:rPr>
        <w:t>Engie</w:t>
      </w:r>
      <w:r w:rsidR="009A588C">
        <w:rPr>
          <w:rFonts w:ascii="Arial" w:hAnsi="Arial" w:cs="Arial"/>
          <w:sz w:val="24"/>
          <w:szCs w:val="24"/>
          <w:lang w:val="fr-FR"/>
        </w:rPr>
        <w:t xml:space="preserve"> et Lagardère</w:t>
      </w:r>
      <w:r w:rsidRPr="00F96671">
        <w:rPr>
          <w:rFonts w:ascii="Arial" w:hAnsi="Arial" w:cs="Arial"/>
          <w:sz w:val="24"/>
          <w:szCs w:val="24"/>
          <w:lang w:val="fr-FR"/>
        </w:rPr>
        <w:t xml:space="preserve">. Amber </w:t>
      </w:r>
      <w:r w:rsidR="00495658">
        <w:rPr>
          <w:rFonts w:ascii="Arial" w:hAnsi="Arial" w:cs="Arial"/>
          <w:sz w:val="24"/>
          <w:szCs w:val="24"/>
          <w:lang w:val="fr-FR"/>
        </w:rPr>
        <w:t xml:space="preserve">possède </w:t>
      </w:r>
      <w:r w:rsidR="00B8683C">
        <w:rPr>
          <w:rFonts w:ascii="Arial" w:hAnsi="Arial" w:cs="Arial"/>
          <w:sz w:val="24"/>
          <w:szCs w:val="24"/>
          <w:lang w:val="fr-FR"/>
        </w:rPr>
        <w:t xml:space="preserve">également </w:t>
      </w:r>
      <w:r w:rsidR="00495658">
        <w:rPr>
          <w:rFonts w:ascii="Arial" w:hAnsi="Arial" w:cs="Arial"/>
          <w:sz w:val="24"/>
          <w:szCs w:val="24"/>
          <w:lang w:val="fr-FR"/>
        </w:rPr>
        <w:t>un historique</w:t>
      </w:r>
      <w:r w:rsidRPr="00F96671">
        <w:rPr>
          <w:rFonts w:ascii="Arial" w:hAnsi="Arial" w:cs="Arial"/>
          <w:sz w:val="24"/>
          <w:szCs w:val="24"/>
          <w:lang w:val="fr-FR"/>
        </w:rPr>
        <w:t xml:space="preserve"> activis</w:t>
      </w:r>
      <w:r w:rsidR="00495658">
        <w:rPr>
          <w:rFonts w:ascii="Arial" w:hAnsi="Arial" w:cs="Arial"/>
          <w:sz w:val="24"/>
          <w:szCs w:val="24"/>
          <w:lang w:val="fr-FR"/>
        </w:rPr>
        <w:t xml:space="preserve">te </w:t>
      </w:r>
      <w:r w:rsidR="00B31E06">
        <w:rPr>
          <w:rFonts w:ascii="Arial" w:hAnsi="Arial" w:cs="Arial"/>
          <w:sz w:val="24"/>
          <w:szCs w:val="24"/>
          <w:lang w:val="fr-FR"/>
        </w:rPr>
        <w:t xml:space="preserve">relativement </w:t>
      </w:r>
      <w:r w:rsidR="00495658">
        <w:rPr>
          <w:rFonts w:ascii="Arial" w:hAnsi="Arial" w:cs="Arial"/>
          <w:sz w:val="24"/>
          <w:szCs w:val="24"/>
          <w:lang w:val="fr-FR"/>
        </w:rPr>
        <w:t>étoffé</w:t>
      </w:r>
      <w:r w:rsidR="00E00D18">
        <w:rPr>
          <w:rFonts w:ascii="Arial" w:hAnsi="Arial" w:cs="Arial"/>
          <w:sz w:val="24"/>
          <w:szCs w:val="24"/>
          <w:lang w:val="fr-FR"/>
        </w:rPr>
        <w:t xml:space="preserve"> et démontré </w:t>
      </w:r>
      <w:r w:rsidR="00495658">
        <w:rPr>
          <w:rFonts w:ascii="Arial" w:hAnsi="Arial" w:cs="Arial"/>
          <w:sz w:val="24"/>
          <w:szCs w:val="24"/>
          <w:lang w:val="fr-FR"/>
        </w:rPr>
        <w:t xml:space="preserve">: </w:t>
      </w:r>
      <w:r w:rsidRPr="00F96671">
        <w:rPr>
          <w:rFonts w:ascii="Arial" w:hAnsi="Arial" w:cs="Arial"/>
          <w:sz w:val="24"/>
          <w:szCs w:val="24"/>
          <w:lang w:val="fr-FR"/>
        </w:rPr>
        <w:t xml:space="preserve"> </w:t>
      </w:r>
      <w:r w:rsidR="00307614">
        <w:rPr>
          <w:rFonts w:ascii="Arial" w:hAnsi="Arial" w:cs="Arial"/>
          <w:sz w:val="24"/>
          <w:szCs w:val="24"/>
          <w:lang w:val="fr-FR"/>
        </w:rPr>
        <w:t xml:space="preserve">la </w:t>
      </w:r>
      <w:r w:rsidRPr="00F96671">
        <w:rPr>
          <w:rFonts w:ascii="Arial" w:hAnsi="Arial" w:cs="Arial"/>
          <w:sz w:val="24"/>
          <w:szCs w:val="24"/>
          <w:lang w:val="fr-FR"/>
        </w:rPr>
        <w:t xml:space="preserve">modification de l’équipe dirigeante de Nexans en 2014, </w:t>
      </w:r>
      <w:r w:rsidR="0035566A">
        <w:rPr>
          <w:rFonts w:ascii="Arial" w:hAnsi="Arial" w:cs="Arial"/>
          <w:sz w:val="24"/>
          <w:szCs w:val="24"/>
          <w:lang w:val="fr-FR"/>
        </w:rPr>
        <w:t>la démission du</w:t>
      </w:r>
      <w:r w:rsidR="0035566A" w:rsidRPr="0035566A">
        <w:rPr>
          <w:rFonts w:ascii="Arial" w:hAnsi="Arial" w:cs="Arial"/>
          <w:sz w:val="24"/>
          <w:szCs w:val="24"/>
          <w:lang w:val="fr-FR"/>
        </w:rPr>
        <w:t xml:space="preserve"> directeur général de Solocal dans le sillage des discussions menées avec les créanciers</w:t>
      </w:r>
      <w:r w:rsidR="0035566A">
        <w:rPr>
          <w:rFonts w:ascii="Arial" w:hAnsi="Arial" w:cs="Arial"/>
          <w:sz w:val="24"/>
          <w:szCs w:val="24"/>
          <w:lang w:val="fr-FR"/>
        </w:rPr>
        <w:t xml:space="preserve"> en août 2020</w:t>
      </w:r>
      <w:r w:rsidR="00B31E06">
        <w:rPr>
          <w:rFonts w:ascii="Arial" w:hAnsi="Arial" w:cs="Arial"/>
          <w:sz w:val="24"/>
          <w:szCs w:val="24"/>
          <w:lang w:val="fr-FR"/>
        </w:rPr>
        <w:t xml:space="preserve"> ainsi que</w:t>
      </w:r>
      <w:r w:rsidR="0035566A" w:rsidRPr="0035566A">
        <w:rPr>
          <w:rFonts w:ascii="Arial" w:hAnsi="Arial" w:cs="Arial"/>
          <w:sz w:val="24"/>
          <w:szCs w:val="24"/>
          <w:lang w:val="fr-FR"/>
        </w:rPr>
        <w:t xml:space="preserve"> </w:t>
      </w:r>
      <w:r w:rsidR="00B31E06">
        <w:rPr>
          <w:rFonts w:ascii="Arial" w:hAnsi="Arial" w:cs="Arial"/>
          <w:sz w:val="24"/>
          <w:szCs w:val="24"/>
          <w:lang w:val="fr-FR"/>
        </w:rPr>
        <w:t>l’</w:t>
      </w:r>
      <w:r w:rsidR="00307614">
        <w:rPr>
          <w:rFonts w:ascii="Arial" w:hAnsi="Arial" w:cs="Arial"/>
          <w:sz w:val="24"/>
          <w:szCs w:val="24"/>
          <w:lang w:val="fr-FR"/>
        </w:rPr>
        <w:t xml:space="preserve">implication dans la revente de </w:t>
      </w:r>
      <w:proofErr w:type="spellStart"/>
      <w:r w:rsidRPr="00F96671">
        <w:rPr>
          <w:rFonts w:ascii="Arial" w:hAnsi="Arial" w:cs="Arial"/>
          <w:sz w:val="24"/>
          <w:szCs w:val="24"/>
          <w:lang w:val="fr-FR"/>
        </w:rPr>
        <w:t>Gameloft</w:t>
      </w:r>
      <w:proofErr w:type="spellEnd"/>
      <w:r w:rsidRPr="00F96671">
        <w:rPr>
          <w:rFonts w:ascii="Arial" w:hAnsi="Arial" w:cs="Arial"/>
          <w:sz w:val="24"/>
          <w:szCs w:val="24"/>
          <w:lang w:val="fr-FR"/>
        </w:rPr>
        <w:t xml:space="preserve"> </w:t>
      </w:r>
      <w:r w:rsidR="00307614">
        <w:rPr>
          <w:rFonts w:ascii="Arial" w:hAnsi="Arial" w:cs="Arial"/>
          <w:sz w:val="24"/>
          <w:szCs w:val="24"/>
          <w:lang w:val="fr-FR"/>
        </w:rPr>
        <w:t xml:space="preserve">à Vivendi </w:t>
      </w:r>
      <w:r w:rsidR="0035566A">
        <w:rPr>
          <w:rFonts w:ascii="Arial" w:hAnsi="Arial" w:cs="Arial"/>
          <w:sz w:val="24"/>
          <w:szCs w:val="24"/>
          <w:lang w:val="fr-FR"/>
        </w:rPr>
        <w:t xml:space="preserve">et celle de </w:t>
      </w:r>
      <w:proofErr w:type="spellStart"/>
      <w:r w:rsidR="0035566A">
        <w:rPr>
          <w:rFonts w:ascii="Arial" w:hAnsi="Arial" w:cs="Arial"/>
          <w:sz w:val="24"/>
          <w:szCs w:val="24"/>
          <w:lang w:val="fr-FR"/>
        </w:rPr>
        <w:t>Saft</w:t>
      </w:r>
      <w:proofErr w:type="spellEnd"/>
      <w:r w:rsidR="0035566A">
        <w:rPr>
          <w:rFonts w:ascii="Arial" w:hAnsi="Arial" w:cs="Arial"/>
          <w:sz w:val="24"/>
          <w:szCs w:val="24"/>
          <w:lang w:val="fr-FR"/>
        </w:rPr>
        <w:t xml:space="preserve"> à Total </w:t>
      </w:r>
      <w:r w:rsidRPr="00F96671">
        <w:rPr>
          <w:rFonts w:ascii="Arial" w:hAnsi="Arial" w:cs="Arial"/>
          <w:sz w:val="24"/>
          <w:szCs w:val="24"/>
          <w:lang w:val="fr-FR"/>
        </w:rPr>
        <w:t>en 2016</w:t>
      </w:r>
      <w:r w:rsidR="0035566A">
        <w:rPr>
          <w:rFonts w:ascii="Arial" w:hAnsi="Arial" w:cs="Arial"/>
          <w:sz w:val="24"/>
          <w:szCs w:val="24"/>
          <w:lang w:val="fr-FR"/>
        </w:rPr>
        <w:t>.</w:t>
      </w:r>
    </w:p>
    <w:p w14:paraId="6DC7B2F0" w14:textId="2AB36C26" w:rsidR="00D4407D" w:rsidRPr="00032999" w:rsidRDefault="00D4407D" w:rsidP="00D4407D">
      <w:pPr>
        <w:ind w:left="420"/>
        <w:jc w:val="both"/>
        <w:rPr>
          <w:rFonts w:ascii="Arial" w:hAnsi="Arial" w:cs="Arial"/>
          <w:sz w:val="24"/>
          <w:szCs w:val="24"/>
          <w:u w:val="single"/>
          <w:lang w:val="fr-FR"/>
        </w:rPr>
      </w:pPr>
      <w:r w:rsidRPr="00032999">
        <w:rPr>
          <w:rFonts w:ascii="Arial" w:hAnsi="Arial" w:cs="Arial"/>
          <w:sz w:val="24"/>
          <w:szCs w:val="24"/>
          <w:u w:val="single"/>
          <w:lang w:val="fr-FR"/>
        </w:rPr>
        <w:t xml:space="preserve">Tableau </w:t>
      </w:r>
      <w:r>
        <w:rPr>
          <w:rFonts w:ascii="Arial" w:hAnsi="Arial" w:cs="Arial"/>
          <w:sz w:val="24"/>
          <w:szCs w:val="24"/>
          <w:u w:val="single"/>
          <w:lang w:val="fr-FR"/>
        </w:rPr>
        <w:t>2</w:t>
      </w:r>
      <w:r w:rsidRPr="00032999">
        <w:rPr>
          <w:rFonts w:ascii="Arial" w:hAnsi="Arial" w:cs="Arial"/>
          <w:sz w:val="24"/>
          <w:szCs w:val="24"/>
          <w:u w:val="single"/>
          <w:lang w:val="fr-FR"/>
        </w:rPr>
        <w:t> :</w:t>
      </w:r>
      <w:r w:rsidRPr="00032999">
        <w:rPr>
          <w:rFonts w:ascii="Arial" w:hAnsi="Arial" w:cs="Arial"/>
          <w:sz w:val="24"/>
          <w:szCs w:val="24"/>
          <w:u w:val="single"/>
          <w:lang w:val="fr-FR"/>
        </w:rPr>
        <w:tab/>
        <w:t>Principaux mouvements récents dans la structure de propriété du groupe Lagardère</w:t>
      </w:r>
    </w:p>
    <w:tbl>
      <w:tblPr>
        <w:tblStyle w:val="TableauGrille4-Accentuation3"/>
        <w:tblW w:w="9214" w:type="dxa"/>
        <w:tblLook w:val="04A0" w:firstRow="1" w:lastRow="0" w:firstColumn="1" w:lastColumn="0" w:noHBand="0" w:noVBand="1"/>
      </w:tblPr>
      <w:tblGrid>
        <w:gridCol w:w="1838"/>
        <w:gridCol w:w="1418"/>
        <w:gridCol w:w="1701"/>
        <w:gridCol w:w="1188"/>
        <w:gridCol w:w="1657"/>
        <w:gridCol w:w="1412"/>
      </w:tblGrid>
      <w:tr w:rsidR="00FF7A49" w:rsidRPr="00032999" w14:paraId="1E4196A0" w14:textId="77777777" w:rsidTr="003919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1288691" w14:textId="77777777" w:rsidR="00D4407D" w:rsidRPr="00225B69" w:rsidRDefault="00D4407D" w:rsidP="00D4407D">
            <w:pPr>
              <w:ind w:left="360"/>
              <w:rPr>
                <w:rFonts w:ascii="Arial" w:hAnsi="Arial" w:cs="Arial"/>
                <w:b w:val="0"/>
                <w:bCs w:val="0"/>
                <w:sz w:val="20"/>
                <w:szCs w:val="20"/>
              </w:rPr>
            </w:pPr>
            <w:r w:rsidRPr="00225B69">
              <w:rPr>
                <w:rFonts w:ascii="Arial" w:hAnsi="Arial" w:cs="Arial"/>
                <w:b w:val="0"/>
                <w:bCs w:val="0"/>
                <w:sz w:val="20"/>
                <w:szCs w:val="20"/>
              </w:rPr>
              <w:t>Amber</w:t>
            </w:r>
          </w:p>
        </w:tc>
        <w:tc>
          <w:tcPr>
            <w:tcW w:w="1418" w:type="dxa"/>
            <w:noWrap/>
            <w:hideMark/>
          </w:tcPr>
          <w:p w14:paraId="2ABF3960" w14:textId="77777777" w:rsidR="00D4407D" w:rsidRPr="00225B69" w:rsidRDefault="00D4407D" w:rsidP="00D4407D">
            <w:pPr>
              <w:ind w:left="3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noWrap/>
            <w:hideMark/>
          </w:tcPr>
          <w:p w14:paraId="0508E368" w14:textId="77777777" w:rsidR="00D4407D" w:rsidRPr="00225B69" w:rsidRDefault="00D4407D" w:rsidP="00D4407D">
            <w:pPr>
              <w:ind w:left="36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225B69">
              <w:rPr>
                <w:rFonts w:ascii="Arial" w:hAnsi="Arial" w:cs="Arial"/>
                <w:b w:val="0"/>
                <w:bCs w:val="0"/>
                <w:sz w:val="20"/>
                <w:szCs w:val="20"/>
              </w:rPr>
              <w:t>Vivendi</w:t>
            </w:r>
          </w:p>
        </w:tc>
        <w:tc>
          <w:tcPr>
            <w:tcW w:w="1107" w:type="dxa"/>
            <w:noWrap/>
            <w:hideMark/>
          </w:tcPr>
          <w:p w14:paraId="4108C3DB" w14:textId="77777777" w:rsidR="00D4407D" w:rsidRPr="00225B69" w:rsidRDefault="00D4407D" w:rsidP="00D4407D">
            <w:pPr>
              <w:ind w:left="3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678" w:type="dxa"/>
          </w:tcPr>
          <w:p w14:paraId="084E6F72" w14:textId="77777777" w:rsidR="00D4407D" w:rsidRPr="00225B69" w:rsidRDefault="00D4407D" w:rsidP="00D4407D">
            <w:pPr>
              <w:ind w:left="36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225B69">
              <w:rPr>
                <w:rFonts w:ascii="Arial" w:hAnsi="Arial" w:cs="Arial"/>
                <w:b w:val="0"/>
                <w:bCs w:val="0"/>
                <w:sz w:val="20"/>
                <w:szCs w:val="20"/>
              </w:rPr>
              <w:t>Arnault</w:t>
            </w:r>
          </w:p>
        </w:tc>
        <w:tc>
          <w:tcPr>
            <w:tcW w:w="1472" w:type="dxa"/>
          </w:tcPr>
          <w:p w14:paraId="44161572" w14:textId="77777777" w:rsidR="00D4407D" w:rsidRPr="00225B69" w:rsidRDefault="00D4407D" w:rsidP="00D4407D">
            <w:pPr>
              <w:ind w:left="3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993B0F" w:rsidRPr="00032999" w14:paraId="44FA78A3" w14:textId="77777777" w:rsidTr="00391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53C344B" w14:textId="77777777" w:rsidR="00D4407D" w:rsidRPr="00225B69" w:rsidRDefault="00D4407D" w:rsidP="00D4407D">
            <w:pPr>
              <w:ind w:left="360"/>
              <w:rPr>
                <w:rFonts w:ascii="Arial" w:hAnsi="Arial" w:cs="Arial"/>
                <w:b w:val="0"/>
                <w:bCs w:val="0"/>
                <w:sz w:val="20"/>
                <w:szCs w:val="20"/>
              </w:rPr>
            </w:pPr>
            <w:r w:rsidRPr="00225B69">
              <w:rPr>
                <w:rFonts w:ascii="Arial" w:hAnsi="Arial" w:cs="Arial"/>
                <w:b w:val="0"/>
                <w:bCs w:val="0"/>
                <w:sz w:val="20"/>
                <w:szCs w:val="20"/>
              </w:rPr>
              <w:t>Date</w:t>
            </w:r>
          </w:p>
        </w:tc>
        <w:tc>
          <w:tcPr>
            <w:tcW w:w="1418" w:type="dxa"/>
            <w:noWrap/>
            <w:hideMark/>
          </w:tcPr>
          <w:p w14:paraId="01AEF59F" w14:textId="3FC2FB8E" w:rsidR="00D4407D" w:rsidRPr="00225B69" w:rsidRDefault="00D4407D" w:rsidP="00D4407D">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 capital</w:t>
            </w:r>
          </w:p>
        </w:tc>
        <w:tc>
          <w:tcPr>
            <w:tcW w:w="1701" w:type="dxa"/>
            <w:noWrap/>
            <w:hideMark/>
          </w:tcPr>
          <w:p w14:paraId="3011761B" w14:textId="77777777" w:rsidR="00D4407D" w:rsidRPr="00225B69" w:rsidRDefault="00D4407D" w:rsidP="00D4407D">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Date</w:t>
            </w:r>
          </w:p>
        </w:tc>
        <w:tc>
          <w:tcPr>
            <w:tcW w:w="1107" w:type="dxa"/>
            <w:noWrap/>
            <w:hideMark/>
          </w:tcPr>
          <w:p w14:paraId="28ECBD22" w14:textId="363941E4" w:rsidR="00D4407D" w:rsidRPr="00225B69" w:rsidRDefault="00D4407D" w:rsidP="00D4407D">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 capital</w:t>
            </w:r>
          </w:p>
        </w:tc>
        <w:tc>
          <w:tcPr>
            <w:tcW w:w="1678" w:type="dxa"/>
          </w:tcPr>
          <w:p w14:paraId="1D208B3C" w14:textId="77777777" w:rsidR="00D4407D" w:rsidRPr="00225B69" w:rsidRDefault="00D4407D" w:rsidP="00D4407D">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Date</w:t>
            </w:r>
          </w:p>
        </w:tc>
        <w:tc>
          <w:tcPr>
            <w:tcW w:w="1472" w:type="dxa"/>
          </w:tcPr>
          <w:p w14:paraId="048A3406" w14:textId="77777777" w:rsidR="00D4407D" w:rsidRPr="00225B69" w:rsidRDefault="00D4407D" w:rsidP="00D4407D">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 capital</w:t>
            </w:r>
          </w:p>
        </w:tc>
      </w:tr>
      <w:tr w:rsidR="00FF7A49" w:rsidRPr="00032999" w14:paraId="66291256" w14:textId="77777777" w:rsidTr="00391990">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7F2D05E" w14:textId="77777777" w:rsidR="00D4407D" w:rsidRPr="00225B69" w:rsidRDefault="00D4407D" w:rsidP="00A24753">
            <w:pPr>
              <w:ind w:left="360"/>
              <w:jc w:val="both"/>
              <w:rPr>
                <w:rFonts w:ascii="Arial" w:hAnsi="Arial" w:cs="Arial"/>
                <w:b w:val="0"/>
                <w:bCs w:val="0"/>
                <w:sz w:val="20"/>
                <w:szCs w:val="20"/>
              </w:rPr>
            </w:pPr>
            <w:r w:rsidRPr="00225B69">
              <w:rPr>
                <w:rFonts w:ascii="Arial" w:hAnsi="Arial" w:cs="Arial"/>
                <w:b w:val="0"/>
                <w:bCs w:val="0"/>
                <w:sz w:val="20"/>
                <w:szCs w:val="20"/>
              </w:rPr>
              <w:t>18-12-2018</w:t>
            </w:r>
          </w:p>
        </w:tc>
        <w:tc>
          <w:tcPr>
            <w:tcW w:w="1418" w:type="dxa"/>
            <w:noWrap/>
            <w:hideMark/>
          </w:tcPr>
          <w:p w14:paraId="1930871C" w14:textId="6F8091E5"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0,05</w:t>
            </w:r>
          </w:p>
        </w:tc>
        <w:tc>
          <w:tcPr>
            <w:tcW w:w="1701" w:type="dxa"/>
            <w:noWrap/>
            <w:hideMark/>
          </w:tcPr>
          <w:p w14:paraId="75BBF24B"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07" w:type="dxa"/>
            <w:noWrap/>
            <w:hideMark/>
          </w:tcPr>
          <w:p w14:paraId="464B1F22"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78" w:type="dxa"/>
          </w:tcPr>
          <w:p w14:paraId="4AF626CE"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2" w:type="dxa"/>
          </w:tcPr>
          <w:p w14:paraId="603B834D" w14:textId="77777777" w:rsidR="00D4407D" w:rsidRPr="00225B69" w:rsidRDefault="00D4407D" w:rsidP="00A24753">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93B0F" w:rsidRPr="00032999" w14:paraId="29ED0A53" w14:textId="77777777" w:rsidTr="00391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0B166A0" w14:textId="77777777" w:rsidR="00D4407D" w:rsidRPr="00225B69" w:rsidRDefault="00D4407D" w:rsidP="00A24753">
            <w:pPr>
              <w:ind w:left="360"/>
              <w:jc w:val="both"/>
              <w:rPr>
                <w:rFonts w:ascii="Arial" w:hAnsi="Arial" w:cs="Arial"/>
                <w:b w:val="0"/>
                <w:bCs w:val="0"/>
                <w:sz w:val="20"/>
                <w:szCs w:val="20"/>
              </w:rPr>
            </w:pPr>
            <w:r w:rsidRPr="00225B69">
              <w:rPr>
                <w:rFonts w:ascii="Arial" w:hAnsi="Arial" w:cs="Arial"/>
                <w:b w:val="0"/>
                <w:bCs w:val="0"/>
                <w:sz w:val="20"/>
                <w:szCs w:val="20"/>
              </w:rPr>
              <w:t>31-12-2018</w:t>
            </w:r>
          </w:p>
        </w:tc>
        <w:tc>
          <w:tcPr>
            <w:tcW w:w="1418" w:type="dxa"/>
            <w:noWrap/>
            <w:hideMark/>
          </w:tcPr>
          <w:p w14:paraId="40BAEBDB" w14:textId="3269E7C4"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0,053</w:t>
            </w:r>
          </w:p>
        </w:tc>
        <w:tc>
          <w:tcPr>
            <w:tcW w:w="1701" w:type="dxa"/>
            <w:noWrap/>
            <w:hideMark/>
          </w:tcPr>
          <w:p w14:paraId="5DF70154"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07" w:type="dxa"/>
            <w:noWrap/>
            <w:hideMark/>
          </w:tcPr>
          <w:p w14:paraId="67FAEC5F"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78" w:type="dxa"/>
          </w:tcPr>
          <w:p w14:paraId="204AF831"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2" w:type="dxa"/>
          </w:tcPr>
          <w:p w14:paraId="7720370E" w14:textId="77777777" w:rsidR="00D4407D" w:rsidRPr="00225B69" w:rsidRDefault="00D4407D" w:rsidP="00A24753">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F7A49" w:rsidRPr="00032999" w14:paraId="69AD36E1" w14:textId="77777777" w:rsidTr="00391990">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5B1DDE9" w14:textId="77777777" w:rsidR="00D4407D" w:rsidRPr="00225B69" w:rsidRDefault="00D4407D" w:rsidP="00A24753">
            <w:pPr>
              <w:ind w:left="360"/>
              <w:jc w:val="both"/>
              <w:rPr>
                <w:rFonts w:ascii="Arial" w:hAnsi="Arial" w:cs="Arial"/>
                <w:b w:val="0"/>
                <w:bCs w:val="0"/>
                <w:sz w:val="20"/>
                <w:szCs w:val="20"/>
              </w:rPr>
            </w:pPr>
            <w:r w:rsidRPr="00225B69">
              <w:rPr>
                <w:rFonts w:ascii="Arial" w:hAnsi="Arial" w:cs="Arial"/>
                <w:b w:val="0"/>
                <w:bCs w:val="0"/>
                <w:sz w:val="20"/>
                <w:szCs w:val="20"/>
              </w:rPr>
              <w:t>4-12-2019</w:t>
            </w:r>
          </w:p>
        </w:tc>
        <w:tc>
          <w:tcPr>
            <w:tcW w:w="1418" w:type="dxa"/>
            <w:noWrap/>
            <w:hideMark/>
          </w:tcPr>
          <w:p w14:paraId="139AD943"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0,067</w:t>
            </w:r>
          </w:p>
        </w:tc>
        <w:tc>
          <w:tcPr>
            <w:tcW w:w="1701" w:type="dxa"/>
            <w:noWrap/>
            <w:hideMark/>
          </w:tcPr>
          <w:p w14:paraId="368D99DC"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07" w:type="dxa"/>
            <w:noWrap/>
            <w:hideMark/>
          </w:tcPr>
          <w:p w14:paraId="71546170"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78" w:type="dxa"/>
          </w:tcPr>
          <w:p w14:paraId="4D2B01B1"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2" w:type="dxa"/>
          </w:tcPr>
          <w:p w14:paraId="05ECD4D2" w14:textId="77777777" w:rsidR="00D4407D" w:rsidRPr="00225B69" w:rsidRDefault="00D4407D" w:rsidP="00A24753">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93B0F" w:rsidRPr="00032999" w14:paraId="7440941B" w14:textId="77777777" w:rsidTr="00391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51F5797" w14:textId="77777777" w:rsidR="00D4407D" w:rsidRPr="00225B69" w:rsidRDefault="00D4407D" w:rsidP="00A24753">
            <w:pPr>
              <w:ind w:left="360"/>
              <w:jc w:val="both"/>
              <w:rPr>
                <w:rFonts w:ascii="Arial" w:hAnsi="Arial" w:cs="Arial"/>
                <w:b w:val="0"/>
                <w:bCs w:val="0"/>
                <w:sz w:val="20"/>
                <w:szCs w:val="20"/>
              </w:rPr>
            </w:pPr>
            <w:r w:rsidRPr="00225B69">
              <w:rPr>
                <w:rFonts w:ascii="Arial" w:hAnsi="Arial" w:cs="Arial"/>
                <w:b w:val="0"/>
                <w:bCs w:val="0"/>
                <w:sz w:val="20"/>
                <w:szCs w:val="20"/>
              </w:rPr>
              <w:t>12-02-2020</w:t>
            </w:r>
          </w:p>
        </w:tc>
        <w:tc>
          <w:tcPr>
            <w:tcW w:w="1418" w:type="dxa"/>
            <w:noWrap/>
            <w:hideMark/>
          </w:tcPr>
          <w:p w14:paraId="0E700D61"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0,1032</w:t>
            </w:r>
          </w:p>
        </w:tc>
        <w:tc>
          <w:tcPr>
            <w:tcW w:w="1701" w:type="dxa"/>
            <w:noWrap/>
            <w:hideMark/>
          </w:tcPr>
          <w:p w14:paraId="7BBE0DB0"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07" w:type="dxa"/>
            <w:noWrap/>
            <w:hideMark/>
          </w:tcPr>
          <w:p w14:paraId="452015C5"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78" w:type="dxa"/>
          </w:tcPr>
          <w:p w14:paraId="7AEFF1B7"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72" w:type="dxa"/>
          </w:tcPr>
          <w:p w14:paraId="621900CD" w14:textId="77777777" w:rsidR="00D4407D" w:rsidRPr="00225B69" w:rsidRDefault="00D4407D" w:rsidP="00A24753">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F7A49" w:rsidRPr="00032999" w14:paraId="694B512C" w14:textId="77777777" w:rsidTr="00391990">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C7ED5A1" w14:textId="77777777" w:rsidR="00D4407D" w:rsidRPr="00225B69" w:rsidRDefault="00D4407D" w:rsidP="00A24753">
            <w:pPr>
              <w:ind w:left="360"/>
              <w:jc w:val="both"/>
              <w:rPr>
                <w:rFonts w:ascii="Arial" w:hAnsi="Arial" w:cs="Arial"/>
                <w:b w:val="0"/>
                <w:bCs w:val="0"/>
                <w:sz w:val="20"/>
                <w:szCs w:val="20"/>
              </w:rPr>
            </w:pPr>
            <w:r w:rsidRPr="00225B69">
              <w:rPr>
                <w:rFonts w:ascii="Arial" w:hAnsi="Arial" w:cs="Arial"/>
                <w:b w:val="0"/>
                <w:bCs w:val="0"/>
                <w:sz w:val="20"/>
                <w:szCs w:val="20"/>
              </w:rPr>
              <w:t>28-02-2020</w:t>
            </w:r>
          </w:p>
        </w:tc>
        <w:tc>
          <w:tcPr>
            <w:tcW w:w="1418" w:type="dxa"/>
            <w:noWrap/>
            <w:hideMark/>
          </w:tcPr>
          <w:p w14:paraId="58D66B36"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0,1398</w:t>
            </w:r>
          </w:p>
        </w:tc>
        <w:tc>
          <w:tcPr>
            <w:tcW w:w="1701" w:type="dxa"/>
            <w:noWrap/>
            <w:hideMark/>
          </w:tcPr>
          <w:p w14:paraId="34DBDBD9"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22-04-2020</w:t>
            </w:r>
          </w:p>
        </w:tc>
        <w:tc>
          <w:tcPr>
            <w:tcW w:w="1107" w:type="dxa"/>
            <w:noWrap/>
            <w:hideMark/>
          </w:tcPr>
          <w:p w14:paraId="718DD684"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0,106</w:t>
            </w:r>
          </w:p>
        </w:tc>
        <w:tc>
          <w:tcPr>
            <w:tcW w:w="1678" w:type="dxa"/>
          </w:tcPr>
          <w:p w14:paraId="696B791E"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72" w:type="dxa"/>
          </w:tcPr>
          <w:p w14:paraId="5B1254C8" w14:textId="77777777" w:rsidR="00D4407D" w:rsidRPr="00225B69" w:rsidRDefault="00D4407D" w:rsidP="00A24753">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93B0F" w:rsidRPr="00032999" w14:paraId="01F6814A" w14:textId="77777777" w:rsidTr="00391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97600FF" w14:textId="77777777" w:rsidR="00D4407D" w:rsidRPr="00225B69" w:rsidRDefault="00D4407D" w:rsidP="00A24753">
            <w:pPr>
              <w:ind w:left="360"/>
              <w:jc w:val="both"/>
              <w:rPr>
                <w:rFonts w:ascii="Arial" w:hAnsi="Arial" w:cs="Arial"/>
                <w:b w:val="0"/>
                <w:bCs w:val="0"/>
                <w:sz w:val="20"/>
                <w:szCs w:val="20"/>
              </w:rPr>
            </w:pPr>
            <w:r w:rsidRPr="00225B69">
              <w:rPr>
                <w:rFonts w:ascii="Arial" w:hAnsi="Arial" w:cs="Arial"/>
                <w:b w:val="0"/>
                <w:bCs w:val="0"/>
                <w:sz w:val="20"/>
                <w:szCs w:val="20"/>
              </w:rPr>
              <w:t>2-03-2020</w:t>
            </w:r>
          </w:p>
        </w:tc>
        <w:tc>
          <w:tcPr>
            <w:tcW w:w="1418" w:type="dxa"/>
            <w:noWrap/>
            <w:hideMark/>
          </w:tcPr>
          <w:p w14:paraId="0F10DB5B"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0,1527</w:t>
            </w:r>
          </w:p>
        </w:tc>
        <w:tc>
          <w:tcPr>
            <w:tcW w:w="1701" w:type="dxa"/>
            <w:noWrap/>
            <w:hideMark/>
          </w:tcPr>
          <w:p w14:paraId="14BBE5B0"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8-07-2020</w:t>
            </w:r>
          </w:p>
        </w:tc>
        <w:tc>
          <w:tcPr>
            <w:tcW w:w="1107" w:type="dxa"/>
            <w:noWrap/>
            <w:hideMark/>
          </w:tcPr>
          <w:p w14:paraId="07674A30"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0,15</w:t>
            </w:r>
          </w:p>
        </w:tc>
        <w:tc>
          <w:tcPr>
            <w:tcW w:w="1678" w:type="dxa"/>
          </w:tcPr>
          <w:p w14:paraId="2095BE39"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19.08.2020</w:t>
            </w:r>
          </w:p>
        </w:tc>
        <w:tc>
          <w:tcPr>
            <w:tcW w:w="1472" w:type="dxa"/>
          </w:tcPr>
          <w:p w14:paraId="2BAF5FAF" w14:textId="77777777" w:rsidR="00D4407D" w:rsidRPr="00225B69" w:rsidRDefault="00D4407D" w:rsidP="00A24753">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27% de LCM</w:t>
            </w:r>
          </w:p>
        </w:tc>
      </w:tr>
      <w:tr w:rsidR="00FF7A49" w:rsidRPr="00032999" w14:paraId="0E330412" w14:textId="77777777" w:rsidTr="00391990">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8CA96A6" w14:textId="77777777" w:rsidR="00D4407D" w:rsidRPr="00225B69" w:rsidRDefault="00D4407D" w:rsidP="00A24753">
            <w:pPr>
              <w:ind w:left="360"/>
              <w:jc w:val="both"/>
              <w:rPr>
                <w:rFonts w:ascii="Arial" w:hAnsi="Arial" w:cs="Arial"/>
                <w:b w:val="0"/>
                <w:bCs w:val="0"/>
                <w:sz w:val="20"/>
                <w:szCs w:val="20"/>
              </w:rPr>
            </w:pPr>
            <w:r w:rsidRPr="00225B69">
              <w:rPr>
                <w:rFonts w:ascii="Arial" w:hAnsi="Arial" w:cs="Arial"/>
                <w:b w:val="0"/>
                <w:bCs w:val="0"/>
                <w:sz w:val="20"/>
                <w:szCs w:val="20"/>
              </w:rPr>
              <w:t>26-03-2020</w:t>
            </w:r>
          </w:p>
        </w:tc>
        <w:tc>
          <w:tcPr>
            <w:tcW w:w="1418" w:type="dxa"/>
            <w:noWrap/>
            <w:hideMark/>
          </w:tcPr>
          <w:p w14:paraId="3F0242F0"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0,1642</w:t>
            </w:r>
          </w:p>
        </w:tc>
        <w:tc>
          <w:tcPr>
            <w:tcW w:w="1701" w:type="dxa"/>
            <w:noWrap/>
            <w:hideMark/>
          </w:tcPr>
          <w:p w14:paraId="54CEB97E"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9-07-2020</w:t>
            </w:r>
          </w:p>
        </w:tc>
        <w:tc>
          <w:tcPr>
            <w:tcW w:w="1107" w:type="dxa"/>
            <w:noWrap/>
            <w:hideMark/>
          </w:tcPr>
          <w:p w14:paraId="19AEFB7B"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0,2</w:t>
            </w:r>
          </w:p>
        </w:tc>
        <w:tc>
          <w:tcPr>
            <w:tcW w:w="1678" w:type="dxa"/>
          </w:tcPr>
          <w:p w14:paraId="68F255F4"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24.09.2020</w:t>
            </w:r>
          </w:p>
        </w:tc>
        <w:tc>
          <w:tcPr>
            <w:tcW w:w="1472" w:type="dxa"/>
          </w:tcPr>
          <w:p w14:paraId="33D85B4A" w14:textId="77777777" w:rsidR="00D4407D" w:rsidRPr="00225B69" w:rsidRDefault="00D4407D" w:rsidP="00A24753">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0,05</w:t>
            </w:r>
          </w:p>
        </w:tc>
      </w:tr>
      <w:tr w:rsidR="00993B0F" w:rsidRPr="00032999" w14:paraId="40166C1F" w14:textId="77777777" w:rsidTr="003919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62FE660" w14:textId="77777777" w:rsidR="00D4407D" w:rsidRPr="00225B69" w:rsidRDefault="00D4407D" w:rsidP="00A24753">
            <w:pPr>
              <w:ind w:left="360"/>
              <w:jc w:val="both"/>
              <w:rPr>
                <w:rFonts w:ascii="Arial" w:hAnsi="Arial" w:cs="Arial"/>
                <w:b w:val="0"/>
                <w:bCs w:val="0"/>
                <w:sz w:val="20"/>
                <w:szCs w:val="20"/>
              </w:rPr>
            </w:pPr>
            <w:r w:rsidRPr="00225B69">
              <w:rPr>
                <w:rFonts w:ascii="Arial" w:hAnsi="Arial" w:cs="Arial"/>
                <w:b w:val="0"/>
                <w:bCs w:val="0"/>
                <w:sz w:val="20"/>
                <w:szCs w:val="20"/>
              </w:rPr>
              <w:t>27-04-2020</w:t>
            </w:r>
          </w:p>
        </w:tc>
        <w:tc>
          <w:tcPr>
            <w:tcW w:w="1418" w:type="dxa"/>
            <w:noWrap/>
            <w:hideMark/>
          </w:tcPr>
          <w:p w14:paraId="06A5E7CA"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0,18</w:t>
            </w:r>
          </w:p>
        </w:tc>
        <w:tc>
          <w:tcPr>
            <w:tcW w:w="1701" w:type="dxa"/>
            <w:noWrap/>
            <w:hideMark/>
          </w:tcPr>
          <w:p w14:paraId="25B9EDFA"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14-07-2020</w:t>
            </w:r>
          </w:p>
        </w:tc>
        <w:tc>
          <w:tcPr>
            <w:tcW w:w="1107" w:type="dxa"/>
            <w:noWrap/>
            <w:hideMark/>
          </w:tcPr>
          <w:p w14:paraId="68EB4F22"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0,2119</w:t>
            </w:r>
          </w:p>
        </w:tc>
        <w:tc>
          <w:tcPr>
            <w:tcW w:w="1678" w:type="dxa"/>
          </w:tcPr>
          <w:p w14:paraId="2647B7DA" w14:textId="77777777" w:rsidR="00D4407D" w:rsidRPr="00225B69" w:rsidRDefault="00D4407D" w:rsidP="00A2475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05.10.2020</w:t>
            </w:r>
          </w:p>
        </w:tc>
        <w:tc>
          <w:tcPr>
            <w:tcW w:w="1472" w:type="dxa"/>
          </w:tcPr>
          <w:p w14:paraId="2864DA46" w14:textId="77777777" w:rsidR="00D4407D" w:rsidRPr="00225B69" w:rsidRDefault="00D4407D" w:rsidP="00A24753">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25B69">
              <w:rPr>
                <w:rFonts w:ascii="Arial" w:hAnsi="Arial" w:cs="Arial"/>
                <w:sz w:val="20"/>
                <w:szCs w:val="20"/>
              </w:rPr>
              <w:t>0,0669</w:t>
            </w:r>
          </w:p>
        </w:tc>
      </w:tr>
      <w:tr w:rsidR="00FF7A49" w:rsidRPr="00032999" w14:paraId="3420482F" w14:textId="77777777" w:rsidTr="00391990">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73EC00C" w14:textId="77777777" w:rsidR="00D4407D" w:rsidRPr="00225B69" w:rsidRDefault="00D4407D" w:rsidP="00A24753">
            <w:pPr>
              <w:ind w:left="360"/>
              <w:jc w:val="both"/>
              <w:rPr>
                <w:rFonts w:ascii="Arial" w:hAnsi="Arial" w:cs="Arial"/>
                <w:b w:val="0"/>
                <w:bCs w:val="0"/>
                <w:sz w:val="20"/>
                <w:szCs w:val="20"/>
              </w:rPr>
            </w:pPr>
            <w:r w:rsidRPr="00225B69">
              <w:rPr>
                <w:rFonts w:ascii="Arial" w:hAnsi="Arial" w:cs="Arial"/>
                <w:b w:val="0"/>
                <w:bCs w:val="0"/>
                <w:sz w:val="20"/>
                <w:szCs w:val="20"/>
              </w:rPr>
              <w:t>15-07-2020</w:t>
            </w:r>
          </w:p>
        </w:tc>
        <w:tc>
          <w:tcPr>
            <w:tcW w:w="1418" w:type="dxa"/>
            <w:noWrap/>
            <w:hideMark/>
          </w:tcPr>
          <w:p w14:paraId="7D5A5D94"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0,1993</w:t>
            </w:r>
          </w:p>
        </w:tc>
        <w:tc>
          <w:tcPr>
            <w:tcW w:w="1701" w:type="dxa"/>
            <w:noWrap/>
            <w:hideMark/>
          </w:tcPr>
          <w:p w14:paraId="0EC4F313"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1-10-2020</w:t>
            </w:r>
          </w:p>
        </w:tc>
        <w:tc>
          <w:tcPr>
            <w:tcW w:w="1107" w:type="dxa"/>
            <w:noWrap/>
            <w:hideMark/>
          </w:tcPr>
          <w:p w14:paraId="34ADE091"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0,267</w:t>
            </w:r>
          </w:p>
        </w:tc>
        <w:tc>
          <w:tcPr>
            <w:tcW w:w="1678" w:type="dxa"/>
          </w:tcPr>
          <w:p w14:paraId="0D8CEB27" w14:textId="77777777" w:rsidR="00D4407D" w:rsidRPr="00225B69" w:rsidRDefault="00D4407D" w:rsidP="00A24753">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13.10.2020</w:t>
            </w:r>
          </w:p>
        </w:tc>
        <w:tc>
          <w:tcPr>
            <w:tcW w:w="1472" w:type="dxa"/>
          </w:tcPr>
          <w:p w14:paraId="7225EDCA" w14:textId="77777777" w:rsidR="00D4407D" w:rsidRPr="00225B69" w:rsidRDefault="00D4407D" w:rsidP="00A24753">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0,0775</w:t>
            </w:r>
          </w:p>
        </w:tc>
      </w:tr>
    </w:tbl>
    <w:p w14:paraId="28BA383B" w14:textId="77777777" w:rsidR="004430FB" w:rsidRDefault="004430FB" w:rsidP="004430FB">
      <w:pPr>
        <w:jc w:val="both"/>
        <w:rPr>
          <w:rFonts w:ascii="Arial" w:hAnsi="Arial" w:cs="Arial"/>
          <w:sz w:val="24"/>
          <w:szCs w:val="24"/>
          <w:lang w:val="fr-FR"/>
        </w:rPr>
      </w:pPr>
    </w:p>
    <w:p w14:paraId="2534CDA6" w14:textId="5E768F5A" w:rsidR="00FE02FD" w:rsidRDefault="00F35B34" w:rsidP="00621769">
      <w:pPr>
        <w:ind w:left="708"/>
        <w:jc w:val="both"/>
        <w:rPr>
          <w:rFonts w:ascii="Arial" w:hAnsi="Arial" w:cs="Arial"/>
          <w:sz w:val="24"/>
          <w:szCs w:val="24"/>
          <w:lang w:val="fr-FR"/>
        </w:rPr>
      </w:pPr>
      <w:r>
        <w:rPr>
          <w:rFonts w:ascii="Arial" w:hAnsi="Arial" w:cs="Arial"/>
          <w:sz w:val="24"/>
          <w:szCs w:val="24"/>
          <w:lang w:val="fr-FR"/>
        </w:rPr>
        <w:t xml:space="preserve">Avant de passer aux raisons de ces montées en </w:t>
      </w:r>
      <w:r w:rsidR="00C7702A">
        <w:rPr>
          <w:rFonts w:ascii="Arial" w:hAnsi="Arial" w:cs="Arial"/>
          <w:sz w:val="24"/>
          <w:szCs w:val="24"/>
          <w:lang w:val="fr-FR"/>
        </w:rPr>
        <w:t>puissance</w:t>
      </w:r>
      <w:r>
        <w:rPr>
          <w:rFonts w:ascii="Arial" w:hAnsi="Arial" w:cs="Arial"/>
          <w:sz w:val="24"/>
          <w:szCs w:val="24"/>
          <w:lang w:val="fr-FR"/>
        </w:rPr>
        <w:t xml:space="preserve"> dans le capital du groupe, il est important de préciser </w:t>
      </w:r>
      <w:r w:rsidR="00E277BF">
        <w:rPr>
          <w:rFonts w:ascii="Arial" w:hAnsi="Arial" w:cs="Arial"/>
          <w:sz w:val="24"/>
          <w:szCs w:val="24"/>
          <w:lang w:val="fr-FR"/>
        </w:rPr>
        <w:t>que, d</w:t>
      </w:r>
      <w:r w:rsidR="003D3198">
        <w:rPr>
          <w:rFonts w:ascii="Arial" w:hAnsi="Arial" w:cs="Arial"/>
          <w:sz w:val="24"/>
          <w:szCs w:val="24"/>
          <w:lang w:val="fr-FR"/>
        </w:rPr>
        <w:t xml:space="preserve">ans le voisinage de ces trois actionnaires, </w:t>
      </w:r>
      <w:r w:rsidR="00CB690C">
        <w:rPr>
          <w:rFonts w:ascii="Arial" w:hAnsi="Arial" w:cs="Arial"/>
          <w:sz w:val="24"/>
          <w:szCs w:val="24"/>
          <w:lang w:val="fr-FR"/>
        </w:rPr>
        <w:t>on retrouve</w:t>
      </w:r>
      <w:r w:rsidR="006C5225">
        <w:rPr>
          <w:rFonts w:ascii="Arial" w:hAnsi="Arial" w:cs="Arial"/>
          <w:sz w:val="24"/>
          <w:szCs w:val="24"/>
          <w:lang w:val="fr-FR"/>
        </w:rPr>
        <w:t>,</w:t>
      </w:r>
      <w:r w:rsidR="00CB690C">
        <w:rPr>
          <w:rFonts w:ascii="Arial" w:hAnsi="Arial" w:cs="Arial"/>
          <w:sz w:val="24"/>
          <w:szCs w:val="24"/>
          <w:lang w:val="fr-FR"/>
        </w:rPr>
        <w:t xml:space="preserve"> </w:t>
      </w:r>
      <w:r w:rsidR="00D67AEF">
        <w:rPr>
          <w:rFonts w:ascii="Arial" w:hAnsi="Arial" w:cs="Arial"/>
          <w:sz w:val="24"/>
          <w:szCs w:val="24"/>
          <w:lang w:val="fr-FR"/>
        </w:rPr>
        <w:t>à l’heure actuelle</w:t>
      </w:r>
      <w:r w:rsidR="006C5225">
        <w:rPr>
          <w:rFonts w:ascii="Arial" w:hAnsi="Arial" w:cs="Arial"/>
          <w:sz w:val="24"/>
          <w:szCs w:val="24"/>
          <w:lang w:val="fr-FR"/>
        </w:rPr>
        <w:t>,</w:t>
      </w:r>
      <w:r w:rsidR="00EE4451" w:rsidRPr="00EE4451">
        <w:t xml:space="preserve"> </w:t>
      </w:r>
      <w:r w:rsidR="00EE4451" w:rsidRPr="00EE4451">
        <w:rPr>
          <w:rFonts w:ascii="Arial" w:hAnsi="Arial" w:cs="Arial"/>
          <w:sz w:val="24"/>
          <w:szCs w:val="24"/>
          <w:lang w:val="fr-FR"/>
        </w:rPr>
        <w:t xml:space="preserve">Qatar Investment </w:t>
      </w:r>
      <w:proofErr w:type="spellStart"/>
      <w:r w:rsidR="00EE4451" w:rsidRPr="00EE4451">
        <w:rPr>
          <w:rFonts w:ascii="Arial" w:hAnsi="Arial" w:cs="Arial"/>
          <w:sz w:val="24"/>
          <w:szCs w:val="24"/>
          <w:lang w:val="fr-FR"/>
        </w:rPr>
        <w:t>Authority</w:t>
      </w:r>
      <w:proofErr w:type="spellEnd"/>
      <w:r w:rsidR="00EE4451">
        <w:rPr>
          <w:rFonts w:ascii="Arial" w:hAnsi="Arial" w:cs="Arial"/>
          <w:sz w:val="24"/>
          <w:szCs w:val="24"/>
          <w:lang w:val="fr-FR"/>
        </w:rPr>
        <w:t xml:space="preserve">, détenteur de </w:t>
      </w:r>
      <w:r w:rsidR="00EE4451" w:rsidRPr="00EE4451">
        <w:rPr>
          <w:rFonts w:ascii="Arial" w:hAnsi="Arial" w:cs="Arial"/>
          <w:sz w:val="24"/>
          <w:szCs w:val="24"/>
          <w:lang w:val="fr-FR"/>
        </w:rPr>
        <w:t>13,03</w:t>
      </w:r>
      <w:r w:rsidR="00EE4451">
        <w:rPr>
          <w:rFonts w:ascii="Arial" w:hAnsi="Arial" w:cs="Arial"/>
          <w:sz w:val="24"/>
          <w:szCs w:val="24"/>
          <w:lang w:val="fr-FR"/>
        </w:rPr>
        <w:t>% du capital</w:t>
      </w:r>
      <w:r w:rsidR="007312C5">
        <w:rPr>
          <w:rFonts w:ascii="Arial" w:hAnsi="Arial" w:cs="Arial"/>
          <w:sz w:val="24"/>
          <w:szCs w:val="24"/>
          <w:lang w:val="fr-FR"/>
        </w:rPr>
        <w:t xml:space="preserve"> (historiquement </w:t>
      </w:r>
      <w:r w:rsidR="00E277BF">
        <w:rPr>
          <w:rFonts w:ascii="Arial" w:hAnsi="Arial" w:cs="Arial"/>
          <w:sz w:val="24"/>
          <w:szCs w:val="24"/>
          <w:lang w:val="fr-FR"/>
        </w:rPr>
        <w:t xml:space="preserve">présent </w:t>
      </w:r>
      <w:r w:rsidR="007312C5">
        <w:rPr>
          <w:rFonts w:ascii="Arial" w:hAnsi="Arial" w:cs="Arial"/>
          <w:sz w:val="24"/>
          <w:szCs w:val="24"/>
          <w:lang w:val="fr-FR"/>
        </w:rPr>
        <w:t>dans la structure de propriété depuis 2011)</w:t>
      </w:r>
      <w:r w:rsidR="00BB55FD">
        <w:rPr>
          <w:rFonts w:ascii="Arial" w:hAnsi="Arial" w:cs="Arial"/>
          <w:sz w:val="24"/>
          <w:szCs w:val="24"/>
          <w:lang w:val="fr-FR"/>
        </w:rPr>
        <w:t xml:space="preserve">, </w:t>
      </w:r>
      <w:proofErr w:type="spellStart"/>
      <w:r w:rsidR="00BB55FD">
        <w:rPr>
          <w:rFonts w:ascii="Arial" w:hAnsi="Arial" w:cs="Arial"/>
          <w:sz w:val="24"/>
          <w:szCs w:val="24"/>
          <w:lang w:val="fr-FR"/>
        </w:rPr>
        <w:t>Fimalac</w:t>
      </w:r>
      <w:proofErr w:type="spellEnd"/>
      <w:r w:rsidR="00BB55FD">
        <w:rPr>
          <w:rFonts w:ascii="Arial" w:hAnsi="Arial" w:cs="Arial"/>
          <w:sz w:val="24"/>
          <w:szCs w:val="24"/>
          <w:lang w:val="fr-FR"/>
        </w:rPr>
        <w:t>, avec 3% du capit</w:t>
      </w:r>
      <w:r w:rsidR="00BC58C5">
        <w:rPr>
          <w:rFonts w:ascii="Arial" w:hAnsi="Arial" w:cs="Arial"/>
          <w:sz w:val="24"/>
          <w:szCs w:val="24"/>
          <w:lang w:val="fr-FR"/>
        </w:rPr>
        <w:t xml:space="preserve">al (participation prise </w:t>
      </w:r>
      <w:r w:rsidR="00F30116" w:rsidRPr="00F30116">
        <w:rPr>
          <w:rFonts w:ascii="Arial" w:hAnsi="Arial" w:cs="Arial"/>
          <w:sz w:val="24"/>
          <w:szCs w:val="24"/>
          <w:lang w:val="fr-FR"/>
        </w:rPr>
        <w:t>en avril 2020</w:t>
      </w:r>
      <w:r w:rsidR="00BC58C5">
        <w:rPr>
          <w:rFonts w:ascii="Arial" w:hAnsi="Arial" w:cs="Arial"/>
          <w:sz w:val="24"/>
          <w:szCs w:val="24"/>
          <w:lang w:val="fr-FR"/>
        </w:rPr>
        <w:t>)</w:t>
      </w:r>
      <w:r w:rsidR="00E277BF">
        <w:rPr>
          <w:rFonts w:ascii="Arial" w:hAnsi="Arial" w:cs="Arial"/>
          <w:sz w:val="24"/>
          <w:szCs w:val="24"/>
          <w:lang w:val="fr-FR"/>
        </w:rPr>
        <w:t xml:space="preserve"> ainsi qu’</w:t>
      </w:r>
      <w:r w:rsidR="00E563E0">
        <w:rPr>
          <w:rFonts w:ascii="Arial" w:hAnsi="Arial" w:cs="Arial"/>
          <w:sz w:val="24"/>
          <w:szCs w:val="24"/>
          <w:lang w:val="fr-FR"/>
        </w:rPr>
        <w:t>Arnaud Lagardère, avec 7,26% du capital</w:t>
      </w:r>
      <w:r w:rsidR="006C1908">
        <w:rPr>
          <w:rFonts w:ascii="Arial" w:hAnsi="Arial" w:cs="Arial"/>
          <w:sz w:val="24"/>
          <w:szCs w:val="24"/>
          <w:lang w:val="fr-FR"/>
        </w:rPr>
        <w:t xml:space="preserve">. </w:t>
      </w:r>
      <w:r w:rsidR="006C1908" w:rsidRPr="006C1908">
        <w:rPr>
          <w:rFonts w:ascii="Arial" w:hAnsi="Arial" w:cs="Arial"/>
          <w:sz w:val="24"/>
          <w:szCs w:val="24"/>
          <w:lang w:val="fr-FR"/>
        </w:rPr>
        <w:t>Des acteurs capitalistiques plus marginaux sont également présents</w:t>
      </w:r>
      <w:r w:rsidR="004D76E8">
        <w:rPr>
          <w:rFonts w:ascii="Arial" w:hAnsi="Arial" w:cs="Arial"/>
          <w:sz w:val="24"/>
          <w:szCs w:val="24"/>
          <w:lang w:val="fr-FR"/>
        </w:rPr>
        <w:t xml:space="preserve"> </w:t>
      </w:r>
      <w:r w:rsidR="006C1908" w:rsidRPr="006C1908">
        <w:rPr>
          <w:rFonts w:ascii="Arial" w:hAnsi="Arial" w:cs="Arial"/>
          <w:sz w:val="24"/>
          <w:szCs w:val="24"/>
          <w:lang w:val="fr-FR"/>
        </w:rPr>
        <w:t>: la C</w:t>
      </w:r>
      <w:r w:rsidR="006C1908">
        <w:rPr>
          <w:rFonts w:ascii="Arial" w:hAnsi="Arial" w:cs="Arial"/>
          <w:sz w:val="24"/>
          <w:szCs w:val="24"/>
          <w:lang w:val="fr-FR"/>
        </w:rPr>
        <w:t xml:space="preserve">aisse des </w:t>
      </w:r>
      <w:r w:rsidR="006C1908" w:rsidRPr="006C1908">
        <w:rPr>
          <w:rFonts w:ascii="Arial" w:hAnsi="Arial" w:cs="Arial"/>
          <w:sz w:val="24"/>
          <w:szCs w:val="24"/>
          <w:lang w:val="fr-FR"/>
        </w:rPr>
        <w:t>D</w:t>
      </w:r>
      <w:r w:rsidR="006C1908">
        <w:rPr>
          <w:rFonts w:ascii="Arial" w:hAnsi="Arial" w:cs="Arial"/>
          <w:sz w:val="24"/>
          <w:szCs w:val="24"/>
          <w:lang w:val="fr-FR"/>
        </w:rPr>
        <w:t xml:space="preserve">épôts et des </w:t>
      </w:r>
      <w:r w:rsidR="006C1908" w:rsidRPr="006C1908">
        <w:rPr>
          <w:rFonts w:ascii="Arial" w:hAnsi="Arial" w:cs="Arial"/>
          <w:sz w:val="24"/>
          <w:szCs w:val="24"/>
          <w:lang w:val="fr-FR"/>
        </w:rPr>
        <w:t>C</w:t>
      </w:r>
      <w:r w:rsidR="006C1908">
        <w:rPr>
          <w:rFonts w:ascii="Arial" w:hAnsi="Arial" w:cs="Arial"/>
          <w:sz w:val="24"/>
          <w:szCs w:val="24"/>
          <w:lang w:val="fr-FR"/>
        </w:rPr>
        <w:t>onsignations</w:t>
      </w:r>
      <w:r w:rsidR="006C1908" w:rsidRPr="006C1908">
        <w:rPr>
          <w:rFonts w:ascii="Arial" w:hAnsi="Arial" w:cs="Arial"/>
          <w:sz w:val="24"/>
          <w:szCs w:val="24"/>
          <w:lang w:val="fr-FR"/>
        </w:rPr>
        <w:t xml:space="preserve"> ainsi que des investisseurs institutionnels considérés comme peu actifs</w:t>
      </w:r>
      <w:r w:rsidR="00CF654D">
        <w:rPr>
          <w:rFonts w:ascii="Arial" w:hAnsi="Arial" w:cs="Arial"/>
          <w:sz w:val="24"/>
          <w:szCs w:val="24"/>
          <w:lang w:val="fr-FR"/>
        </w:rPr>
        <w:t>.</w:t>
      </w:r>
    </w:p>
    <w:p w14:paraId="6AF815BF" w14:textId="10D200E9" w:rsidR="00632C3E" w:rsidRDefault="004430FB" w:rsidP="00621769">
      <w:pPr>
        <w:ind w:left="708"/>
        <w:jc w:val="both"/>
        <w:rPr>
          <w:rFonts w:ascii="Arial" w:hAnsi="Arial" w:cs="Arial"/>
          <w:sz w:val="24"/>
          <w:szCs w:val="24"/>
          <w:lang w:val="fr-FR"/>
        </w:rPr>
      </w:pPr>
      <w:r w:rsidRPr="00032999">
        <w:rPr>
          <w:rFonts w:ascii="Arial" w:hAnsi="Arial" w:cs="Arial"/>
          <w:sz w:val="24"/>
          <w:szCs w:val="24"/>
          <w:lang w:val="fr-FR"/>
        </w:rPr>
        <w:t>L</w:t>
      </w:r>
      <w:r w:rsidR="004F320C">
        <w:rPr>
          <w:rFonts w:ascii="Arial" w:hAnsi="Arial" w:cs="Arial"/>
          <w:sz w:val="24"/>
          <w:szCs w:val="24"/>
          <w:lang w:val="fr-FR"/>
        </w:rPr>
        <w:t>’</w:t>
      </w:r>
      <w:r w:rsidRPr="00032999">
        <w:rPr>
          <w:rFonts w:ascii="Arial" w:hAnsi="Arial" w:cs="Arial"/>
          <w:sz w:val="24"/>
          <w:szCs w:val="24"/>
          <w:lang w:val="fr-FR"/>
        </w:rPr>
        <w:t xml:space="preserve">augmentation </w:t>
      </w:r>
      <w:r w:rsidR="004F320C">
        <w:rPr>
          <w:rFonts w:ascii="Arial" w:hAnsi="Arial" w:cs="Arial"/>
          <w:sz w:val="24"/>
          <w:szCs w:val="24"/>
          <w:lang w:val="fr-FR"/>
        </w:rPr>
        <w:t xml:space="preserve">la plus sensible </w:t>
      </w:r>
      <w:r w:rsidRPr="00032999">
        <w:rPr>
          <w:rFonts w:ascii="Arial" w:hAnsi="Arial" w:cs="Arial"/>
          <w:sz w:val="24"/>
          <w:szCs w:val="24"/>
          <w:lang w:val="fr-FR"/>
        </w:rPr>
        <w:t xml:space="preserve">des positions d’Amber au sein du capital de Lagardère </w:t>
      </w:r>
      <w:r w:rsidR="004F6139">
        <w:rPr>
          <w:rFonts w:ascii="Arial" w:hAnsi="Arial" w:cs="Arial"/>
          <w:sz w:val="24"/>
          <w:szCs w:val="24"/>
          <w:lang w:val="fr-FR"/>
        </w:rPr>
        <w:t>s’est opérée</w:t>
      </w:r>
      <w:r w:rsidRPr="00032999">
        <w:rPr>
          <w:rFonts w:ascii="Arial" w:hAnsi="Arial" w:cs="Arial"/>
          <w:sz w:val="24"/>
          <w:szCs w:val="24"/>
          <w:lang w:val="fr-FR"/>
        </w:rPr>
        <w:t xml:space="preserve"> entre mi-février et fin avril 2020, avec des achats lors de séances très déprimées (par exemple, l</w:t>
      </w:r>
      <w:r w:rsidR="003844EF">
        <w:rPr>
          <w:rFonts w:ascii="Arial" w:hAnsi="Arial" w:cs="Arial"/>
          <w:sz w:val="24"/>
          <w:szCs w:val="24"/>
          <w:lang w:val="fr-FR"/>
        </w:rPr>
        <w:t>ors des séances des</w:t>
      </w:r>
      <w:r w:rsidRPr="00032999">
        <w:rPr>
          <w:rFonts w:ascii="Arial" w:hAnsi="Arial" w:cs="Arial"/>
          <w:sz w:val="24"/>
          <w:szCs w:val="24"/>
          <w:lang w:val="fr-FR"/>
        </w:rPr>
        <w:t xml:space="preserve"> 28 février et </w:t>
      </w:r>
      <w:r w:rsidR="003844EF">
        <w:rPr>
          <w:rFonts w:ascii="Arial" w:hAnsi="Arial" w:cs="Arial"/>
          <w:sz w:val="24"/>
          <w:szCs w:val="24"/>
          <w:lang w:val="fr-FR"/>
        </w:rPr>
        <w:t>du</w:t>
      </w:r>
      <w:r w:rsidRPr="00032999">
        <w:rPr>
          <w:rFonts w:ascii="Arial" w:hAnsi="Arial" w:cs="Arial"/>
          <w:sz w:val="24"/>
          <w:szCs w:val="24"/>
          <w:lang w:val="fr-FR"/>
        </w:rPr>
        <w:t xml:space="preserve"> 2 mars, la valorisation boursière du groupe </w:t>
      </w:r>
      <w:r w:rsidR="00006711">
        <w:rPr>
          <w:rFonts w:ascii="Arial" w:hAnsi="Arial" w:cs="Arial"/>
          <w:sz w:val="24"/>
          <w:szCs w:val="24"/>
          <w:lang w:val="fr-FR"/>
        </w:rPr>
        <w:t xml:space="preserve">a chuté </w:t>
      </w:r>
      <w:r w:rsidRPr="00032999">
        <w:rPr>
          <w:rFonts w:ascii="Arial" w:hAnsi="Arial" w:cs="Arial"/>
          <w:sz w:val="24"/>
          <w:szCs w:val="24"/>
          <w:lang w:val="fr-FR"/>
        </w:rPr>
        <w:t xml:space="preserve">de respectivement 9,74% et 5,3%). </w:t>
      </w:r>
    </w:p>
    <w:p w14:paraId="7374487D" w14:textId="72415ADD" w:rsidR="00513944" w:rsidRDefault="001A2C0E" w:rsidP="00621769">
      <w:pPr>
        <w:ind w:left="708"/>
        <w:jc w:val="both"/>
        <w:rPr>
          <w:rFonts w:ascii="Arial" w:hAnsi="Arial" w:cs="Arial"/>
          <w:sz w:val="24"/>
          <w:szCs w:val="24"/>
          <w:lang w:val="fr-FR"/>
        </w:rPr>
      </w:pPr>
      <w:r w:rsidRPr="00032999">
        <w:rPr>
          <w:rFonts w:ascii="Arial" w:hAnsi="Arial" w:cs="Arial"/>
          <w:sz w:val="24"/>
          <w:szCs w:val="24"/>
          <w:lang w:val="fr-FR"/>
        </w:rPr>
        <w:t xml:space="preserve">A la suite à de ce positionnement, Vivendi va prendre des participations importantes dans l’entreprise entre avril et octobre 2020. </w:t>
      </w:r>
      <w:r w:rsidR="002B6506" w:rsidRPr="002B6506">
        <w:rPr>
          <w:rFonts w:ascii="Arial" w:hAnsi="Arial" w:cs="Arial"/>
          <w:sz w:val="24"/>
          <w:szCs w:val="24"/>
          <w:lang w:val="fr-FR"/>
        </w:rPr>
        <w:t xml:space="preserve">En parallèle, Marc Ladreit de Lacharrière (groupe </w:t>
      </w:r>
      <w:proofErr w:type="spellStart"/>
      <w:r w:rsidR="002B6506" w:rsidRPr="002B6506">
        <w:rPr>
          <w:rFonts w:ascii="Arial" w:hAnsi="Arial" w:cs="Arial"/>
          <w:sz w:val="24"/>
          <w:szCs w:val="24"/>
          <w:lang w:val="fr-FR"/>
        </w:rPr>
        <w:t>Fimalac</w:t>
      </w:r>
      <w:proofErr w:type="spellEnd"/>
      <w:r w:rsidR="002B6506" w:rsidRPr="002B6506">
        <w:rPr>
          <w:rFonts w:ascii="Arial" w:hAnsi="Arial" w:cs="Arial"/>
          <w:sz w:val="24"/>
          <w:szCs w:val="24"/>
          <w:lang w:val="fr-FR"/>
        </w:rPr>
        <w:t>) a emboît</w:t>
      </w:r>
      <w:r w:rsidR="00155E2E">
        <w:rPr>
          <w:rFonts w:ascii="Arial" w:hAnsi="Arial" w:cs="Arial"/>
          <w:sz w:val="24"/>
          <w:szCs w:val="24"/>
          <w:lang w:val="fr-FR"/>
        </w:rPr>
        <w:t>é</w:t>
      </w:r>
      <w:r w:rsidR="002B6506" w:rsidRPr="002B6506">
        <w:rPr>
          <w:rFonts w:ascii="Arial" w:hAnsi="Arial" w:cs="Arial"/>
          <w:sz w:val="24"/>
          <w:szCs w:val="24"/>
          <w:lang w:val="fr-FR"/>
        </w:rPr>
        <w:t xml:space="preserve"> le pas à Vivendi </w:t>
      </w:r>
      <w:r w:rsidR="00155E2E">
        <w:rPr>
          <w:rFonts w:ascii="Arial" w:hAnsi="Arial" w:cs="Arial"/>
          <w:sz w:val="24"/>
          <w:szCs w:val="24"/>
          <w:lang w:val="fr-FR"/>
        </w:rPr>
        <w:t>et a pris</w:t>
      </w:r>
      <w:r w:rsidR="002B6506" w:rsidRPr="002B6506">
        <w:rPr>
          <w:rFonts w:ascii="Arial" w:hAnsi="Arial" w:cs="Arial"/>
          <w:sz w:val="24"/>
          <w:szCs w:val="24"/>
          <w:lang w:val="fr-FR"/>
        </w:rPr>
        <w:t xml:space="preserve"> 3% du capital de Lagardère en avril 2020.</w:t>
      </w:r>
      <w:r w:rsidR="002B6506">
        <w:rPr>
          <w:rFonts w:ascii="Arial" w:hAnsi="Arial" w:cs="Arial"/>
          <w:sz w:val="24"/>
          <w:szCs w:val="24"/>
          <w:lang w:val="fr-FR"/>
        </w:rPr>
        <w:t xml:space="preserve"> </w:t>
      </w:r>
      <w:r w:rsidRPr="00032999">
        <w:rPr>
          <w:rFonts w:ascii="Arial" w:hAnsi="Arial" w:cs="Arial"/>
          <w:sz w:val="24"/>
          <w:szCs w:val="24"/>
          <w:lang w:val="fr-FR"/>
        </w:rPr>
        <w:t xml:space="preserve">Les </w:t>
      </w:r>
      <w:r>
        <w:rPr>
          <w:rFonts w:ascii="Arial" w:hAnsi="Arial" w:cs="Arial"/>
          <w:sz w:val="24"/>
          <w:szCs w:val="24"/>
          <w:lang w:val="fr-FR"/>
        </w:rPr>
        <w:t xml:space="preserve">premiers </w:t>
      </w:r>
      <w:r w:rsidRPr="00032999">
        <w:rPr>
          <w:rFonts w:ascii="Arial" w:hAnsi="Arial" w:cs="Arial"/>
          <w:sz w:val="24"/>
          <w:szCs w:val="24"/>
          <w:lang w:val="fr-FR"/>
        </w:rPr>
        <w:t xml:space="preserve">placements effectués par Vivendi sont présentés par Vincent Bolloré comme des investissements à long </w:t>
      </w:r>
      <w:r w:rsidRPr="00032999">
        <w:rPr>
          <w:rFonts w:ascii="Arial" w:hAnsi="Arial" w:cs="Arial"/>
          <w:sz w:val="24"/>
          <w:szCs w:val="24"/>
          <w:lang w:val="fr-FR"/>
        </w:rPr>
        <w:lastRenderedPageBreak/>
        <w:t>terme dans une perspective amicale ("</w:t>
      </w:r>
      <w:r w:rsidRPr="00032999">
        <w:rPr>
          <w:rFonts w:ascii="Arial" w:hAnsi="Arial" w:cs="Arial"/>
          <w:i/>
          <w:iCs/>
          <w:sz w:val="24"/>
          <w:szCs w:val="24"/>
          <w:lang w:val="fr-FR"/>
        </w:rPr>
        <w:t>Nos deux familles se soutiennent mutuellement depuis au moins trois décennies, cela se poursuit et il n'y a aucune raison que cela s'arrête</w:t>
      </w:r>
      <w:r w:rsidRPr="00032999">
        <w:rPr>
          <w:rFonts w:ascii="Arial" w:hAnsi="Arial" w:cs="Arial"/>
          <w:sz w:val="24"/>
          <w:szCs w:val="24"/>
          <w:lang w:val="fr-FR"/>
        </w:rPr>
        <w:t> »</w:t>
      </w:r>
      <w:r w:rsidR="00AE2E72">
        <w:t xml:space="preserve">, </w:t>
      </w:r>
      <w:r w:rsidR="00AE2E72" w:rsidRPr="00AE2E72">
        <w:rPr>
          <w:rFonts w:ascii="Arial" w:hAnsi="Arial" w:cs="Arial"/>
          <w:sz w:val="24"/>
          <w:szCs w:val="24"/>
          <w:lang w:val="fr-FR"/>
        </w:rPr>
        <w:t>Arnaud Lagardère</w:t>
      </w:r>
      <w:r w:rsidR="00AE2E72">
        <w:rPr>
          <w:rFonts w:ascii="Arial" w:hAnsi="Arial" w:cs="Arial"/>
          <w:sz w:val="24"/>
          <w:szCs w:val="24"/>
          <w:lang w:val="fr-FR"/>
        </w:rPr>
        <w:t xml:space="preserve">, </w:t>
      </w:r>
      <w:r w:rsidR="00AE2E72" w:rsidRPr="00AE2E72">
        <w:rPr>
          <w:rFonts w:ascii="Arial" w:hAnsi="Arial" w:cs="Arial"/>
          <w:sz w:val="24"/>
          <w:szCs w:val="24"/>
          <w:lang w:val="fr-FR"/>
        </w:rPr>
        <w:t>mai 2020</w:t>
      </w:r>
      <w:r w:rsidRPr="00032999">
        <w:rPr>
          <w:rFonts w:ascii="Arial" w:hAnsi="Arial" w:cs="Arial"/>
          <w:sz w:val="24"/>
          <w:szCs w:val="24"/>
          <w:lang w:val="fr-FR"/>
        </w:rPr>
        <w:t>)</w:t>
      </w:r>
      <w:r w:rsidR="002A452C">
        <w:rPr>
          <w:rFonts w:ascii="Arial" w:hAnsi="Arial" w:cs="Arial"/>
          <w:sz w:val="24"/>
          <w:szCs w:val="24"/>
          <w:lang w:val="fr-FR"/>
        </w:rPr>
        <w:t xml:space="preserve">. </w:t>
      </w:r>
      <w:r w:rsidR="00A75B4A" w:rsidRPr="00A75B4A">
        <w:rPr>
          <w:rFonts w:ascii="Arial" w:hAnsi="Arial" w:cs="Arial"/>
          <w:sz w:val="24"/>
          <w:szCs w:val="24"/>
        </w:rPr>
        <w:t xml:space="preserve">Si </w:t>
      </w:r>
      <w:r w:rsidR="00814F86" w:rsidRPr="00814F86">
        <w:rPr>
          <w:rFonts w:ascii="Arial" w:hAnsi="Arial" w:cs="Arial"/>
          <w:sz w:val="24"/>
          <w:szCs w:val="24"/>
          <w:lang w:val="fr-FR"/>
        </w:rPr>
        <w:t>Vivendi était apparemment entré dans le capital du groupe afin de consolider la position d’Arnaud Lagardère</w:t>
      </w:r>
      <w:r w:rsidR="00A75B4A">
        <w:rPr>
          <w:rFonts w:ascii="Arial" w:hAnsi="Arial" w:cs="Arial"/>
          <w:sz w:val="24"/>
          <w:szCs w:val="24"/>
          <w:lang w:val="fr-FR"/>
        </w:rPr>
        <w:t xml:space="preserve">, </w:t>
      </w:r>
      <w:r w:rsidR="00814F86" w:rsidRPr="00814F86">
        <w:rPr>
          <w:rFonts w:ascii="Arial" w:hAnsi="Arial" w:cs="Arial"/>
          <w:sz w:val="24"/>
          <w:szCs w:val="24"/>
          <w:lang w:val="fr-FR"/>
        </w:rPr>
        <w:t xml:space="preserve">les performances dégradées du groupe </w:t>
      </w:r>
      <w:r w:rsidR="00AC2A1B">
        <w:rPr>
          <w:rFonts w:ascii="Arial" w:hAnsi="Arial" w:cs="Arial"/>
          <w:sz w:val="24"/>
          <w:szCs w:val="24"/>
          <w:lang w:val="fr-FR"/>
        </w:rPr>
        <w:t xml:space="preserve">au </w:t>
      </w:r>
      <w:r w:rsidR="00814F86" w:rsidRPr="00814F86">
        <w:rPr>
          <w:rFonts w:ascii="Arial" w:hAnsi="Arial" w:cs="Arial"/>
          <w:sz w:val="24"/>
          <w:szCs w:val="24"/>
          <w:lang w:val="fr-FR"/>
        </w:rPr>
        <w:t>premier semestre 2020</w:t>
      </w:r>
      <w:r w:rsidR="00AC2A1B">
        <w:rPr>
          <w:rFonts w:ascii="Arial" w:hAnsi="Arial" w:cs="Arial"/>
          <w:sz w:val="24"/>
          <w:szCs w:val="24"/>
          <w:lang w:val="fr-FR"/>
        </w:rPr>
        <w:t xml:space="preserve"> </w:t>
      </w:r>
      <w:r w:rsidR="00814F86" w:rsidRPr="00814F86">
        <w:rPr>
          <w:rFonts w:ascii="Arial" w:hAnsi="Arial" w:cs="Arial"/>
          <w:sz w:val="24"/>
          <w:szCs w:val="24"/>
          <w:lang w:val="fr-FR"/>
        </w:rPr>
        <w:t>ainsi que le</w:t>
      </w:r>
      <w:r w:rsidR="00AC2A1B">
        <w:rPr>
          <w:rFonts w:ascii="Arial" w:hAnsi="Arial" w:cs="Arial"/>
          <w:sz w:val="24"/>
          <w:szCs w:val="24"/>
          <w:lang w:val="fr-FR"/>
        </w:rPr>
        <w:t xml:space="preserve"> </w:t>
      </w:r>
      <w:r w:rsidR="00814F86" w:rsidRPr="00814F86">
        <w:rPr>
          <w:rFonts w:ascii="Arial" w:hAnsi="Arial" w:cs="Arial"/>
          <w:sz w:val="24"/>
          <w:szCs w:val="24"/>
          <w:lang w:val="fr-FR"/>
        </w:rPr>
        <w:t xml:space="preserve">positionnement de Bernard Arnault depuis mai 2020 ont modifié les rapports entre Amber Capital et Vivendi et ceux-ci ont décidé de signer </w:t>
      </w:r>
      <w:r w:rsidR="003E36CE">
        <w:rPr>
          <w:rFonts w:ascii="Arial" w:hAnsi="Arial" w:cs="Arial"/>
          <w:sz w:val="24"/>
          <w:szCs w:val="24"/>
          <w:lang w:val="fr-FR"/>
        </w:rPr>
        <w:t>un pacte d’actionnaires le 11 août 2020.</w:t>
      </w:r>
    </w:p>
    <w:p w14:paraId="4386B45E" w14:textId="73303586" w:rsidR="00AE4192" w:rsidRDefault="00513944" w:rsidP="00621769">
      <w:pPr>
        <w:ind w:left="708"/>
        <w:jc w:val="both"/>
        <w:rPr>
          <w:rFonts w:ascii="Arial" w:hAnsi="Arial" w:cs="Arial"/>
          <w:sz w:val="24"/>
          <w:szCs w:val="24"/>
          <w:lang w:val="fr-FR"/>
        </w:rPr>
      </w:pPr>
      <w:r w:rsidRPr="00032999">
        <w:rPr>
          <w:rFonts w:ascii="Arial" w:hAnsi="Arial" w:cs="Arial"/>
          <w:sz w:val="24"/>
          <w:szCs w:val="24"/>
          <w:lang w:val="fr-FR"/>
        </w:rPr>
        <w:t>A la suite de ce</w:t>
      </w:r>
      <w:r w:rsidR="00431BCB">
        <w:rPr>
          <w:rFonts w:ascii="Arial" w:hAnsi="Arial" w:cs="Arial"/>
          <w:sz w:val="24"/>
          <w:szCs w:val="24"/>
          <w:lang w:val="fr-FR"/>
        </w:rPr>
        <w:t xml:space="preserve"> pacte</w:t>
      </w:r>
      <w:r w:rsidRPr="00032999">
        <w:rPr>
          <w:rFonts w:ascii="Arial" w:hAnsi="Arial" w:cs="Arial"/>
          <w:sz w:val="24"/>
          <w:szCs w:val="24"/>
          <w:lang w:val="fr-FR"/>
        </w:rPr>
        <w:t>, la position d’Arnaud Lagardère semble de plus en plus menacée, et ce d’autant plus que Vivendi fait état de sa capacité financière à racheter la participation détenue par Amber</w:t>
      </w:r>
      <w:r w:rsidR="00621769">
        <w:rPr>
          <w:rFonts w:ascii="Arial" w:hAnsi="Arial" w:cs="Arial"/>
          <w:sz w:val="24"/>
          <w:szCs w:val="24"/>
          <w:lang w:val="fr-FR"/>
        </w:rPr>
        <w:t>.</w:t>
      </w:r>
      <w:r w:rsidR="00463E58">
        <w:rPr>
          <w:rFonts w:ascii="Arial" w:hAnsi="Arial" w:cs="Arial"/>
          <w:sz w:val="24"/>
          <w:szCs w:val="24"/>
          <w:lang w:val="fr-FR"/>
        </w:rPr>
        <w:t xml:space="preserve"> Les prises de positions de Bernard Arnault constitueraient dans cette optique</w:t>
      </w:r>
      <w:r w:rsidR="007A0964">
        <w:rPr>
          <w:rFonts w:ascii="Arial" w:hAnsi="Arial" w:cs="Arial"/>
          <w:sz w:val="24"/>
          <w:szCs w:val="24"/>
          <w:lang w:val="fr-FR"/>
        </w:rPr>
        <w:t xml:space="preserve"> une nouvelle voie pour asseoir le pouvoir d’Arnaud Lagardère au sein du groupe.</w:t>
      </w:r>
      <w:r w:rsidRPr="00032999">
        <w:rPr>
          <w:rFonts w:ascii="Arial" w:hAnsi="Arial" w:cs="Arial"/>
          <w:sz w:val="24"/>
          <w:szCs w:val="24"/>
          <w:lang w:val="fr-FR"/>
        </w:rPr>
        <w:t xml:space="preserve"> </w:t>
      </w:r>
    </w:p>
    <w:p w14:paraId="4F0DCA96" w14:textId="258E624D" w:rsidR="00513944" w:rsidRPr="00032999" w:rsidRDefault="00513944" w:rsidP="00621769">
      <w:pPr>
        <w:ind w:left="708"/>
        <w:jc w:val="both"/>
        <w:rPr>
          <w:rFonts w:ascii="Arial" w:hAnsi="Arial" w:cs="Arial"/>
          <w:sz w:val="24"/>
          <w:szCs w:val="24"/>
          <w:lang w:val="fr-FR"/>
        </w:rPr>
      </w:pPr>
      <w:r w:rsidRPr="00032999">
        <w:rPr>
          <w:rFonts w:ascii="Arial" w:hAnsi="Arial" w:cs="Arial"/>
          <w:sz w:val="24"/>
          <w:szCs w:val="24"/>
          <w:lang w:val="fr-FR"/>
        </w:rPr>
        <w:t>Pour ce qui est des participations prises par Bernard Arnault, elles vont s’opérer à deux endroits et à différents moments : 27 % de la holding familiale en août 2020 et des investissements directement dans le capital en septembre et octobre 2020 (180 millions d’euros</w:t>
      </w:r>
      <w:r>
        <w:rPr>
          <w:rFonts w:ascii="Arial" w:hAnsi="Arial" w:cs="Arial"/>
          <w:sz w:val="24"/>
          <w:szCs w:val="24"/>
          <w:lang w:val="fr-FR"/>
        </w:rPr>
        <w:t xml:space="preserve"> au total</w:t>
      </w:r>
      <w:r w:rsidRPr="00032999">
        <w:rPr>
          <w:rFonts w:ascii="Arial" w:hAnsi="Arial" w:cs="Arial"/>
          <w:sz w:val="24"/>
          <w:szCs w:val="24"/>
          <w:lang w:val="fr-FR"/>
        </w:rPr>
        <w:t>). En fonction de la forme juridique de l’entreprise, la présence de Bernard Arnault dans la holding familiale pourrait être considérée comme un partage de pouvoir avec Ar</w:t>
      </w:r>
      <w:r>
        <w:rPr>
          <w:rFonts w:ascii="Arial" w:hAnsi="Arial" w:cs="Arial"/>
          <w:sz w:val="24"/>
          <w:szCs w:val="24"/>
          <w:lang w:val="fr-FR"/>
        </w:rPr>
        <w:t>nau</w:t>
      </w:r>
      <w:r w:rsidRPr="00032999">
        <w:rPr>
          <w:rFonts w:ascii="Arial" w:hAnsi="Arial" w:cs="Arial"/>
          <w:sz w:val="24"/>
          <w:szCs w:val="24"/>
          <w:lang w:val="fr-FR"/>
        </w:rPr>
        <w:t xml:space="preserve">d Lagardère. </w:t>
      </w:r>
    </w:p>
    <w:p w14:paraId="4AD97E1D" w14:textId="2E7BE49D" w:rsidR="002E2E15" w:rsidRDefault="00513944" w:rsidP="00621769">
      <w:pPr>
        <w:ind w:left="708"/>
        <w:jc w:val="both"/>
        <w:rPr>
          <w:rFonts w:ascii="Arial" w:hAnsi="Arial" w:cs="Arial"/>
          <w:sz w:val="24"/>
          <w:szCs w:val="24"/>
          <w:lang w:val="fr-FR"/>
        </w:rPr>
      </w:pPr>
      <w:r w:rsidRPr="00032999">
        <w:rPr>
          <w:rFonts w:ascii="Arial" w:hAnsi="Arial" w:cs="Arial"/>
          <w:sz w:val="24"/>
          <w:szCs w:val="24"/>
          <w:lang w:val="fr-FR"/>
        </w:rPr>
        <w:t>Bernard Arnault aurait promis à Jean-Luc Lagardère, quelques jours avant sa mort, de</w:t>
      </w:r>
      <w:proofErr w:type="gramStart"/>
      <w:r w:rsidR="001944F9" w:rsidRPr="00032999">
        <w:rPr>
          <w:rFonts w:ascii="Arial" w:hAnsi="Arial" w:cs="Arial"/>
          <w:sz w:val="24"/>
          <w:szCs w:val="24"/>
          <w:lang w:val="fr-FR"/>
        </w:rPr>
        <w:t xml:space="preserve"> </w:t>
      </w:r>
      <w:r w:rsidR="001944F9">
        <w:rPr>
          <w:rFonts w:ascii="Arial" w:hAnsi="Arial" w:cs="Arial"/>
          <w:sz w:val="24"/>
          <w:szCs w:val="24"/>
          <w:lang w:val="fr-FR"/>
        </w:rPr>
        <w:t>«</w:t>
      </w:r>
      <w:r w:rsidR="001944F9" w:rsidRPr="00C84490">
        <w:rPr>
          <w:rFonts w:ascii="Arial" w:hAnsi="Arial" w:cs="Arial"/>
          <w:sz w:val="24"/>
          <w:szCs w:val="24"/>
          <w:lang w:val="fr-FR"/>
        </w:rPr>
        <w:t>veiller</w:t>
      </w:r>
      <w:proofErr w:type="gramEnd"/>
      <w:r>
        <w:rPr>
          <w:rFonts w:ascii="Arial" w:hAnsi="Arial" w:cs="Arial"/>
          <w:sz w:val="24"/>
          <w:szCs w:val="24"/>
          <w:lang w:val="fr-FR"/>
        </w:rPr>
        <w:t>»</w:t>
      </w:r>
      <w:r w:rsidRPr="00032999">
        <w:rPr>
          <w:rFonts w:ascii="Arial" w:hAnsi="Arial" w:cs="Arial"/>
          <w:sz w:val="24"/>
          <w:szCs w:val="24"/>
          <w:lang w:val="fr-FR"/>
        </w:rPr>
        <w:t xml:space="preserve"> sur son fils et les liens historiques entre les deux groupes ne manquent pas : le PDG de LVMH a été administrateur du Conseil de Surveillance de Lagardère entre 2004 et 2012, tandis qu’Arnaud Lagardère a siégé au Conseil d’Administration de LVMH entre 2003 et 2009.  </w:t>
      </w:r>
    </w:p>
    <w:p w14:paraId="3F9E93D8" w14:textId="4DC2E4BC" w:rsidR="00D77F83" w:rsidRDefault="00D77F83" w:rsidP="00621769">
      <w:pPr>
        <w:ind w:left="708"/>
        <w:jc w:val="both"/>
        <w:rPr>
          <w:rFonts w:ascii="Arial" w:hAnsi="Arial" w:cs="Arial"/>
          <w:sz w:val="24"/>
          <w:szCs w:val="24"/>
          <w:lang w:val="fr-FR"/>
        </w:rPr>
      </w:pPr>
      <w:r>
        <w:rPr>
          <w:rFonts w:ascii="Arial" w:hAnsi="Arial" w:cs="Arial"/>
          <w:sz w:val="24"/>
          <w:szCs w:val="24"/>
          <w:lang w:val="fr-FR"/>
        </w:rPr>
        <w:t>Au niveau de la gouvernance, la composition du Conseil de Surveillance</w:t>
      </w:r>
      <w:r w:rsidR="008028FD">
        <w:rPr>
          <w:rFonts w:ascii="Arial" w:hAnsi="Arial" w:cs="Arial"/>
          <w:sz w:val="24"/>
          <w:szCs w:val="24"/>
          <w:lang w:val="fr-FR"/>
        </w:rPr>
        <w:t xml:space="preserve"> </w:t>
      </w:r>
      <w:r w:rsidR="00621769">
        <w:rPr>
          <w:rFonts w:ascii="Arial" w:hAnsi="Arial" w:cs="Arial"/>
          <w:sz w:val="24"/>
          <w:szCs w:val="24"/>
          <w:lang w:val="fr-FR"/>
        </w:rPr>
        <w:t xml:space="preserve">se présentait de </w:t>
      </w:r>
      <w:r w:rsidR="008028FD">
        <w:rPr>
          <w:rFonts w:ascii="Arial" w:hAnsi="Arial" w:cs="Arial"/>
          <w:sz w:val="24"/>
          <w:szCs w:val="24"/>
          <w:lang w:val="fr-FR"/>
        </w:rPr>
        <w:t xml:space="preserve">la </w:t>
      </w:r>
      <w:r w:rsidR="00621769">
        <w:rPr>
          <w:rFonts w:ascii="Arial" w:hAnsi="Arial" w:cs="Arial"/>
          <w:sz w:val="24"/>
          <w:szCs w:val="24"/>
          <w:lang w:val="fr-FR"/>
        </w:rPr>
        <w:t xml:space="preserve">manière </w:t>
      </w:r>
      <w:r w:rsidR="008028FD">
        <w:rPr>
          <w:rFonts w:ascii="Arial" w:hAnsi="Arial" w:cs="Arial"/>
          <w:sz w:val="24"/>
          <w:szCs w:val="24"/>
          <w:lang w:val="fr-FR"/>
        </w:rPr>
        <w:t>suivante en octobre 2020 :</w:t>
      </w:r>
    </w:p>
    <w:p w14:paraId="1462C778" w14:textId="7F5E4E49" w:rsidR="00F10847" w:rsidRPr="00032999" w:rsidRDefault="00F10847" w:rsidP="00F10847">
      <w:pPr>
        <w:ind w:left="360"/>
        <w:jc w:val="both"/>
        <w:rPr>
          <w:rFonts w:ascii="Arial" w:hAnsi="Arial" w:cs="Arial"/>
          <w:sz w:val="24"/>
          <w:szCs w:val="24"/>
          <w:u w:val="single"/>
          <w:lang w:val="fr-FR"/>
        </w:rPr>
      </w:pPr>
      <w:r w:rsidRPr="00032999">
        <w:rPr>
          <w:rFonts w:ascii="Arial" w:hAnsi="Arial" w:cs="Arial"/>
          <w:sz w:val="24"/>
          <w:szCs w:val="24"/>
          <w:u w:val="single"/>
          <w:lang w:val="fr-FR"/>
        </w:rPr>
        <w:t xml:space="preserve">Tableau </w:t>
      </w:r>
      <w:r>
        <w:rPr>
          <w:rFonts w:ascii="Arial" w:hAnsi="Arial" w:cs="Arial"/>
          <w:sz w:val="24"/>
          <w:szCs w:val="24"/>
          <w:u w:val="single"/>
          <w:lang w:val="fr-FR"/>
        </w:rPr>
        <w:t>3</w:t>
      </w:r>
      <w:r w:rsidRPr="00032999">
        <w:rPr>
          <w:rFonts w:ascii="Arial" w:hAnsi="Arial" w:cs="Arial"/>
          <w:sz w:val="24"/>
          <w:szCs w:val="24"/>
          <w:u w:val="single"/>
          <w:lang w:val="fr-FR"/>
        </w:rPr>
        <w:t> :</w:t>
      </w:r>
      <w:r w:rsidRPr="00032999">
        <w:rPr>
          <w:rFonts w:ascii="Arial" w:hAnsi="Arial" w:cs="Arial"/>
          <w:sz w:val="24"/>
          <w:szCs w:val="24"/>
          <w:u w:val="single"/>
          <w:lang w:val="fr-FR"/>
        </w:rPr>
        <w:tab/>
        <w:t xml:space="preserve">Composition du Conseil de Surveillance du groupe Lagardère </w:t>
      </w:r>
    </w:p>
    <w:tbl>
      <w:tblPr>
        <w:tblStyle w:val="TableauGrille4-Accentuation3"/>
        <w:tblW w:w="8646" w:type="dxa"/>
        <w:tblLook w:val="04A0" w:firstRow="1" w:lastRow="0" w:firstColumn="1" w:lastColumn="0" w:noHBand="0" w:noVBand="1"/>
      </w:tblPr>
      <w:tblGrid>
        <w:gridCol w:w="2599"/>
        <w:gridCol w:w="2645"/>
        <w:gridCol w:w="3402"/>
      </w:tblGrid>
      <w:tr w:rsidR="0046049E" w:rsidRPr="00032999" w14:paraId="5186AA36" w14:textId="77777777" w:rsidTr="009941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dxa"/>
          </w:tcPr>
          <w:p w14:paraId="6556B431" w14:textId="77777777" w:rsidR="0046049E" w:rsidRPr="00225B69" w:rsidRDefault="0046049E" w:rsidP="00A24753">
            <w:pPr>
              <w:jc w:val="both"/>
              <w:rPr>
                <w:rFonts w:ascii="Arial" w:hAnsi="Arial" w:cs="Arial"/>
                <w:b w:val="0"/>
                <w:bCs w:val="0"/>
                <w:sz w:val="20"/>
                <w:szCs w:val="20"/>
                <w:lang w:val="fr-FR"/>
              </w:rPr>
            </w:pPr>
            <w:r w:rsidRPr="00225B69">
              <w:rPr>
                <w:rFonts w:ascii="Arial" w:hAnsi="Arial" w:cs="Arial"/>
                <w:b w:val="0"/>
                <w:bCs w:val="0"/>
                <w:sz w:val="20"/>
                <w:szCs w:val="20"/>
                <w:lang w:val="fr-FR"/>
              </w:rPr>
              <w:t>Personnes</w:t>
            </w:r>
          </w:p>
        </w:tc>
        <w:tc>
          <w:tcPr>
            <w:tcW w:w="2645" w:type="dxa"/>
          </w:tcPr>
          <w:p w14:paraId="4A4BA91F" w14:textId="77777777" w:rsidR="0046049E" w:rsidRPr="00225B69" w:rsidRDefault="0046049E" w:rsidP="00A2475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fr-FR"/>
              </w:rPr>
            </w:pPr>
            <w:r w:rsidRPr="00225B69">
              <w:rPr>
                <w:rFonts w:ascii="Arial" w:hAnsi="Arial" w:cs="Arial"/>
                <w:b w:val="0"/>
                <w:bCs w:val="0"/>
                <w:sz w:val="20"/>
                <w:szCs w:val="20"/>
                <w:lang w:val="fr-FR"/>
              </w:rPr>
              <w:t>Date de nomination</w:t>
            </w:r>
          </w:p>
        </w:tc>
        <w:tc>
          <w:tcPr>
            <w:tcW w:w="3402" w:type="dxa"/>
          </w:tcPr>
          <w:p w14:paraId="53A3E4A0" w14:textId="77777777" w:rsidR="0046049E" w:rsidRPr="00225B69" w:rsidRDefault="0046049E" w:rsidP="00A2475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fr-FR"/>
              </w:rPr>
            </w:pPr>
            <w:r w:rsidRPr="00225B69">
              <w:rPr>
                <w:rFonts w:ascii="Arial" w:hAnsi="Arial" w:cs="Arial"/>
                <w:b w:val="0"/>
                <w:bCs w:val="0"/>
                <w:sz w:val="20"/>
                <w:szCs w:val="20"/>
                <w:lang w:val="fr-FR"/>
              </w:rPr>
              <w:t>Appartenance et profil</w:t>
            </w:r>
          </w:p>
        </w:tc>
      </w:tr>
      <w:tr w:rsidR="0046049E" w:rsidRPr="00032999" w14:paraId="46110D6C" w14:textId="77777777" w:rsidTr="0099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dxa"/>
          </w:tcPr>
          <w:p w14:paraId="363CBC86" w14:textId="77777777" w:rsidR="0046049E" w:rsidRPr="00225B69" w:rsidRDefault="0046049E" w:rsidP="00A24753">
            <w:pPr>
              <w:jc w:val="both"/>
              <w:rPr>
                <w:rFonts w:ascii="Arial" w:hAnsi="Arial" w:cs="Arial"/>
                <w:b w:val="0"/>
                <w:bCs w:val="0"/>
                <w:sz w:val="20"/>
                <w:szCs w:val="20"/>
                <w:lang w:val="fr-FR"/>
              </w:rPr>
            </w:pPr>
            <w:r w:rsidRPr="00225B69">
              <w:rPr>
                <w:rFonts w:ascii="Arial" w:hAnsi="Arial" w:cs="Arial"/>
                <w:b w:val="0"/>
                <w:bCs w:val="0"/>
                <w:sz w:val="20"/>
                <w:szCs w:val="20"/>
                <w:lang w:val="fr-FR"/>
              </w:rPr>
              <w:t xml:space="preserve">Patrick </w:t>
            </w:r>
            <w:proofErr w:type="spellStart"/>
            <w:r w:rsidRPr="00225B69">
              <w:rPr>
                <w:rFonts w:ascii="Arial" w:hAnsi="Arial" w:cs="Arial"/>
                <w:b w:val="0"/>
                <w:bCs w:val="0"/>
                <w:sz w:val="20"/>
                <w:szCs w:val="20"/>
                <w:lang w:val="fr-FR"/>
              </w:rPr>
              <w:t>Valroff</w:t>
            </w:r>
            <w:proofErr w:type="spellEnd"/>
          </w:p>
        </w:tc>
        <w:tc>
          <w:tcPr>
            <w:tcW w:w="2645" w:type="dxa"/>
          </w:tcPr>
          <w:p w14:paraId="53193187" w14:textId="77777777" w:rsidR="0046049E" w:rsidRPr="00225B69" w:rsidRDefault="0046049E" w:rsidP="00A247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12.2019</w:t>
            </w:r>
          </w:p>
        </w:tc>
        <w:tc>
          <w:tcPr>
            <w:tcW w:w="3402" w:type="dxa"/>
          </w:tcPr>
          <w:p w14:paraId="088DE183" w14:textId="77777777" w:rsidR="0046049E" w:rsidRPr="00225B69" w:rsidRDefault="0046049E" w:rsidP="00A247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Crédit Agricole</w:t>
            </w:r>
          </w:p>
        </w:tc>
      </w:tr>
      <w:tr w:rsidR="0046049E" w:rsidRPr="00032999" w14:paraId="7A34BCB2" w14:textId="77777777" w:rsidTr="00994113">
        <w:tc>
          <w:tcPr>
            <w:cnfStyle w:val="001000000000" w:firstRow="0" w:lastRow="0" w:firstColumn="1" w:lastColumn="0" w:oddVBand="0" w:evenVBand="0" w:oddHBand="0" w:evenHBand="0" w:firstRowFirstColumn="0" w:firstRowLastColumn="0" w:lastRowFirstColumn="0" w:lastRowLastColumn="0"/>
            <w:tcW w:w="2599" w:type="dxa"/>
          </w:tcPr>
          <w:p w14:paraId="173CAFDE" w14:textId="77777777" w:rsidR="0046049E" w:rsidRPr="00225B69" w:rsidRDefault="0046049E" w:rsidP="00A24753">
            <w:pPr>
              <w:jc w:val="both"/>
              <w:rPr>
                <w:rFonts w:ascii="Arial" w:hAnsi="Arial" w:cs="Arial"/>
                <w:b w:val="0"/>
                <w:bCs w:val="0"/>
                <w:sz w:val="20"/>
                <w:szCs w:val="20"/>
                <w:lang w:val="fr-FR"/>
              </w:rPr>
            </w:pPr>
            <w:r w:rsidRPr="00225B69">
              <w:rPr>
                <w:rFonts w:ascii="Arial" w:hAnsi="Arial" w:cs="Arial"/>
                <w:b w:val="0"/>
                <w:bCs w:val="0"/>
                <w:sz w:val="20"/>
                <w:szCs w:val="20"/>
                <w:lang w:val="fr-FR"/>
              </w:rPr>
              <w:t xml:space="preserve">Jamal </w:t>
            </w:r>
            <w:proofErr w:type="spellStart"/>
            <w:r w:rsidRPr="00225B69">
              <w:rPr>
                <w:rFonts w:ascii="Arial" w:hAnsi="Arial" w:cs="Arial"/>
                <w:b w:val="0"/>
                <w:bCs w:val="0"/>
                <w:sz w:val="20"/>
                <w:szCs w:val="20"/>
                <w:lang w:val="fr-FR"/>
              </w:rPr>
              <w:t>Benomar</w:t>
            </w:r>
            <w:proofErr w:type="spellEnd"/>
          </w:p>
        </w:tc>
        <w:tc>
          <w:tcPr>
            <w:tcW w:w="2645" w:type="dxa"/>
          </w:tcPr>
          <w:p w14:paraId="0E33A401" w14:textId="77777777" w:rsidR="0046049E" w:rsidRPr="00225B69" w:rsidRDefault="0046049E" w:rsidP="00A247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09.2018</w:t>
            </w:r>
          </w:p>
        </w:tc>
        <w:tc>
          <w:tcPr>
            <w:tcW w:w="3402" w:type="dxa"/>
          </w:tcPr>
          <w:p w14:paraId="6E27715C" w14:textId="77777777" w:rsidR="0046049E" w:rsidRPr="00225B69" w:rsidRDefault="0046049E" w:rsidP="00A247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Coloré Fonds qatari</w:t>
            </w:r>
          </w:p>
        </w:tc>
      </w:tr>
      <w:tr w:rsidR="0046049E" w:rsidRPr="00032999" w14:paraId="48018BBF" w14:textId="77777777" w:rsidTr="0099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dxa"/>
          </w:tcPr>
          <w:p w14:paraId="5437F69E" w14:textId="77777777" w:rsidR="0046049E" w:rsidRPr="00225B69" w:rsidRDefault="0046049E" w:rsidP="00A24753">
            <w:pPr>
              <w:jc w:val="both"/>
              <w:rPr>
                <w:rFonts w:ascii="Arial" w:hAnsi="Arial" w:cs="Arial"/>
                <w:b w:val="0"/>
                <w:bCs w:val="0"/>
                <w:sz w:val="20"/>
                <w:szCs w:val="20"/>
                <w:lang w:val="fr-FR"/>
              </w:rPr>
            </w:pPr>
            <w:r w:rsidRPr="00225B69">
              <w:rPr>
                <w:rFonts w:ascii="Arial" w:hAnsi="Arial" w:cs="Arial"/>
                <w:b w:val="0"/>
                <w:bCs w:val="0"/>
                <w:sz w:val="20"/>
                <w:szCs w:val="20"/>
                <w:lang w:val="fr-FR"/>
              </w:rPr>
              <w:t xml:space="preserve">Soumia </w:t>
            </w:r>
            <w:proofErr w:type="spellStart"/>
            <w:r w:rsidRPr="00225B69">
              <w:rPr>
                <w:rFonts w:ascii="Arial" w:hAnsi="Arial" w:cs="Arial"/>
                <w:b w:val="0"/>
                <w:bCs w:val="0"/>
                <w:sz w:val="20"/>
                <w:szCs w:val="20"/>
                <w:lang w:val="fr-FR"/>
              </w:rPr>
              <w:t>Malinbaum</w:t>
            </w:r>
            <w:proofErr w:type="spellEnd"/>
          </w:p>
        </w:tc>
        <w:tc>
          <w:tcPr>
            <w:tcW w:w="2645" w:type="dxa"/>
          </w:tcPr>
          <w:p w14:paraId="01FCF247" w14:textId="77777777" w:rsidR="0046049E" w:rsidRPr="00225B69" w:rsidRDefault="0046049E" w:rsidP="00A247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2013</w:t>
            </w:r>
          </w:p>
        </w:tc>
        <w:tc>
          <w:tcPr>
            <w:tcW w:w="3402" w:type="dxa"/>
          </w:tcPr>
          <w:p w14:paraId="5FE75054" w14:textId="77777777" w:rsidR="0046049E" w:rsidRPr="00225B69" w:rsidRDefault="0046049E" w:rsidP="00A247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Indépendante-</w:t>
            </w:r>
            <w:proofErr w:type="spellStart"/>
            <w:r w:rsidRPr="00225B69">
              <w:rPr>
                <w:rFonts w:ascii="Arial" w:hAnsi="Arial" w:cs="Arial"/>
                <w:sz w:val="20"/>
                <w:szCs w:val="20"/>
                <w:lang w:val="fr-FR"/>
              </w:rPr>
              <w:t>Keyrus</w:t>
            </w:r>
            <w:proofErr w:type="spellEnd"/>
          </w:p>
        </w:tc>
      </w:tr>
      <w:tr w:rsidR="0046049E" w:rsidRPr="00032999" w14:paraId="2916C455" w14:textId="77777777" w:rsidTr="00994113">
        <w:tc>
          <w:tcPr>
            <w:cnfStyle w:val="001000000000" w:firstRow="0" w:lastRow="0" w:firstColumn="1" w:lastColumn="0" w:oddVBand="0" w:evenVBand="0" w:oddHBand="0" w:evenHBand="0" w:firstRowFirstColumn="0" w:firstRowLastColumn="0" w:lastRowFirstColumn="0" w:lastRowLastColumn="0"/>
            <w:tcW w:w="2599" w:type="dxa"/>
          </w:tcPr>
          <w:p w14:paraId="7E5AF813" w14:textId="77777777" w:rsidR="0046049E" w:rsidRPr="00225B69" w:rsidRDefault="0046049E" w:rsidP="00A24753">
            <w:pPr>
              <w:jc w:val="both"/>
              <w:rPr>
                <w:rFonts w:ascii="Arial" w:hAnsi="Arial" w:cs="Arial"/>
                <w:b w:val="0"/>
                <w:bCs w:val="0"/>
                <w:sz w:val="20"/>
                <w:szCs w:val="20"/>
                <w:lang w:val="fr-FR"/>
              </w:rPr>
            </w:pPr>
            <w:r w:rsidRPr="00225B69">
              <w:rPr>
                <w:rFonts w:ascii="Arial" w:hAnsi="Arial" w:cs="Arial"/>
                <w:b w:val="0"/>
                <w:bCs w:val="0"/>
                <w:sz w:val="20"/>
                <w:szCs w:val="20"/>
                <w:lang w:val="fr-FR"/>
              </w:rPr>
              <w:t xml:space="preserve">Guillaume </w:t>
            </w:r>
            <w:proofErr w:type="spellStart"/>
            <w:r w:rsidRPr="00225B69">
              <w:rPr>
                <w:rFonts w:ascii="Arial" w:hAnsi="Arial" w:cs="Arial"/>
                <w:b w:val="0"/>
                <w:bCs w:val="0"/>
                <w:sz w:val="20"/>
                <w:szCs w:val="20"/>
                <w:lang w:val="fr-FR"/>
              </w:rPr>
              <w:t>Pepy</w:t>
            </w:r>
            <w:proofErr w:type="spellEnd"/>
          </w:p>
        </w:tc>
        <w:tc>
          <w:tcPr>
            <w:tcW w:w="2645" w:type="dxa"/>
          </w:tcPr>
          <w:p w14:paraId="02EBDB01" w14:textId="77777777" w:rsidR="0046049E" w:rsidRPr="00225B69" w:rsidRDefault="0046049E" w:rsidP="00A247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02.2020</w:t>
            </w:r>
          </w:p>
        </w:tc>
        <w:tc>
          <w:tcPr>
            <w:tcW w:w="3402" w:type="dxa"/>
          </w:tcPr>
          <w:p w14:paraId="2D3D70A2" w14:textId="77777777" w:rsidR="0046049E" w:rsidRPr="00225B69" w:rsidRDefault="0046049E" w:rsidP="00A247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SNCF</w:t>
            </w:r>
          </w:p>
        </w:tc>
      </w:tr>
      <w:tr w:rsidR="0046049E" w:rsidRPr="00032999" w14:paraId="0F654492" w14:textId="77777777" w:rsidTr="0099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dxa"/>
          </w:tcPr>
          <w:p w14:paraId="6976B450" w14:textId="77777777" w:rsidR="0046049E" w:rsidRPr="00225B69" w:rsidRDefault="0046049E" w:rsidP="00A24753">
            <w:pPr>
              <w:jc w:val="both"/>
              <w:rPr>
                <w:rFonts w:ascii="Arial" w:hAnsi="Arial" w:cs="Arial"/>
                <w:b w:val="0"/>
                <w:bCs w:val="0"/>
                <w:sz w:val="20"/>
                <w:szCs w:val="20"/>
                <w:lang w:val="fr-FR"/>
              </w:rPr>
            </w:pPr>
            <w:r w:rsidRPr="00225B69">
              <w:rPr>
                <w:rFonts w:ascii="Arial" w:hAnsi="Arial" w:cs="Arial"/>
                <w:b w:val="0"/>
                <w:bCs w:val="0"/>
                <w:sz w:val="20"/>
                <w:szCs w:val="20"/>
                <w:lang w:val="fr-FR"/>
              </w:rPr>
              <w:t>Gilles Petit</w:t>
            </w:r>
          </w:p>
        </w:tc>
        <w:tc>
          <w:tcPr>
            <w:tcW w:w="2645" w:type="dxa"/>
          </w:tcPr>
          <w:p w14:paraId="09F04D30" w14:textId="77777777" w:rsidR="0046049E" w:rsidRPr="00225B69" w:rsidRDefault="0046049E" w:rsidP="00A247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05.2019</w:t>
            </w:r>
          </w:p>
        </w:tc>
        <w:tc>
          <w:tcPr>
            <w:tcW w:w="3402" w:type="dxa"/>
          </w:tcPr>
          <w:p w14:paraId="62CDE208" w14:textId="77777777" w:rsidR="0046049E" w:rsidRPr="00225B69" w:rsidRDefault="0046049E" w:rsidP="00A247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Carrefour, Maison du Monde</w:t>
            </w:r>
          </w:p>
        </w:tc>
      </w:tr>
      <w:tr w:rsidR="0046049E" w:rsidRPr="00032999" w14:paraId="51EE9E7E" w14:textId="77777777" w:rsidTr="00994113">
        <w:tc>
          <w:tcPr>
            <w:cnfStyle w:val="001000000000" w:firstRow="0" w:lastRow="0" w:firstColumn="1" w:lastColumn="0" w:oddVBand="0" w:evenVBand="0" w:oddHBand="0" w:evenHBand="0" w:firstRowFirstColumn="0" w:firstRowLastColumn="0" w:lastRowFirstColumn="0" w:lastRowLastColumn="0"/>
            <w:tcW w:w="2599" w:type="dxa"/>
          </w:tcPr>
          <w:p w14:paraId="3B044B96" w14:textId="77777777" w:rsidR="0046049E" w:rsidRPr="00225B69" w:rsidRDefault="0046049E" w:rsidP="00A24753">
            <w:pPr>
              <w:jc w:val="both"/>
              <w:rPr>
                <w:rFonts w:ascii="Arial" w:hAnsi="Arial" w:cs="Arial"/>
                <w:b w:val="0"/>
                <w:bCs w:val="0"/>
                <w:sz w:val="20"/>
                <w:szCs w:val="20"/>
                <w:lang w:val="fr-FR"/>
              </w:rPr>
            </w:pPr>
            <w:r w:rsidRPr="00225B69">
              <w:rPr>
                <w:rFonts w:ascii="Arial" w:hAnsi="Arial" w:cs="Arial"/>
                <w:b w:val="0"/>
                <w:bCs w:val="0"/>
                <w:sz w:val="20"/>
                <w:szCs w:val="20"/>
                <w:lang w:val="fr-FR"/>
              </w:rPr>
              <w:t>Nicolas Sarkozy</w:t>
            </w:r>
          </w:p>
        </w:tc>
        <w:tc>
          <w:tcPr>
            <w:tcW w:w="2645" w:type="dxa"/>
          </w:tcPr>
          <w:p w14:paraId="2ED49C53" w14:textId="77777777" w:rsidR="0046049E" w:rsidRPr="00225B69" w:rsidRDefault="0046049E" w:rsidP="00A247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02.2020</w:t>
            </w:r>
          </w:p>
        </w:tc>
        <w:tc>
          <w:tcPr>
            <w:tcW w:w="3402" w:type="dxa"/>
          </w:tcPr>
          <w:p w14:paraId="2D7DE608" w14:textId="77777777" w:rsidR="0046049E" w:rsidRPr="00225B69" w:rsidRDefault="0046049E" w:rsidP="00A247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Ex. Président de la République</w:t>
            </w:r>
          </w:p>
        </w:tc>
      </w:tr>
      <w:tr w:rsidR="0046049E" w:rsidRPr="00032999" w14:paraId="6F2D8E14" w14:textId="77777777" w:rsidTr="00994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dxa"/>
          </w:tcPr>
          <w:p w14:paraId="4A431C98" w14:textId="77777777" w:rsidR="0046049E" w:rsidRPr="00225B69" w:rsidRDefault="0046049E" w:rsidP="00A24753">
            <w:pPr>
              <w:jc w:val="both"/>
              <w:rPr>
                <w:rFonts w:ascii="Arial" w:hAnsi="Arial" w:cs="Arial"/>
                <w:b w:val="0"/>
                <w:bCs w:val="0"/>
                <w:sz w:val="20"/>
                <w:szCs w:val="20"/>
                <w:lang w:val="fr-FR"/>
              </w:rPr>
            </w:pPr>
            <w:r w:rsidRPr="00225B69">
              <w:rPr>
                <w:rFonts w:ascii="Arial" w:hAnsi="Arial" w:cs="Arial"/>
                <w:b w:val="0"/>
                <w:bCs w:val="0"/>
                <w:sz w:val="20"/>
                <w:szCs w:val="20"/>
                <w:lang w:val="fr-FR"/>
              </w:rPr>
              <w:t>Valérie Bernis</w:t>
            </w:r>
          </w:p>
        </w:tc>
        <w:tc>
          <w:tcPr>
            <w:tcW w:w="2645" w:type="dxa"/>
          </w:tcPr>
          <w:p w14:paraId="0BACBE60" w14:textId="77777777" w:rsidR="0046049E" w:rsidRPr="00225B69" w:rsidRDefault="0046049E" w:rsidP="00A247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08.2020</w:t>
            </w:r>
          </w:p>
        </w:tc>
        <w:tc>
          <w:tcPr>
            <w:tcW w:w="3402" w:type="dxa"/>
          </w:tcPr>
          <w:p w14:paraId="7D102377" w14:textId="77777777" w:rsidR="0046049E" w:rsidRPr="00225B69" w:rsidRDefault="0046049E" w:rsidP="00A247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Colorée Suez, Engie</w:t>
            </w:r>
          </w:p>
        </w:tc>
      </w:tr>
      <w:tr w:rsidR="0046049E" w:rsidRPr="00032999" w14:paraId="68C9DA87" w14:textId="77777777" w:rsidTr="00994113">
        <w:tc>
          <w:tcPr>
            <w:cnfStyle w:val="001000000000" w:firstRow="0" w:lastRow="0" w:firstColumn="1" w:lastColumn="0" w:oddVBand="0" w:evenVBand="0" w:oddHBand="0" w:evenHBand="0" w:firstRowFirstColumn="0" w:firstRowLastColumn="0" w:lastRowFirstColumn="0" w:lastRowLastColumn="0"/>
            <w:tcW w:w="2599" w:type="dxa"/>
          </w:tcPr>
          <w:p w14:paraId="41B08D3A" w14:textId="77777777" w:rsidR="0046049E" w:rsidRPr="00225B69" w:rsidRDefault="0046049E" w:rsidP="00A24753">
            <w:pPr>
              <w:jc w:val="both"/>
              <w:rPr>
                <w:rFonts w:ascii="Arial" w:hAnsi="Arial" w:cs="Arial"/>
                <w:b w:val="0"/>
                <w:bCs w:val="0"/>
                <w:sz w:val="20"/>
                <w:szCs w:val="20"/>
                <w:lang w:val="fr-FR"/>
              </w:rPr>
            </w:pPr>
            <w:r w:rsidRPr="00225B69">
              <w:rPr>
                <w:rFonts w:ascii="Arial" w:hAnsi="Arial" w:cs="Arial"/>
                <w:b w:val="0"/>
                <w:bCs w:val="0"/>
                <w:sz w:val="20"/>
                <w:szCs w:val="20"/>
                <w:lang w:val="fr-FR"/>
              </w:rPr>
              <w:t xml:space="preserve">Susan </w:t>
            </w:r>
            <w:proofErr w:type="spellStart"/>
            <w:r w:rsidRPr="00225B69">
              <w:rPr>
                <w:rFonts w:ascii="Arial" w:hAnsi="Arial" w:cs="Arial"/>
                <w:b w:val="0"/>
                <w:bCs w:val="0"/>
                <w:sz w:val="20"/>
                <w:szCs w:val="20"/>
                <w:lang w:val="fr-FR"/>
              </w:rPr>
              <w:t>Tolson</w:t>
            </w:r>
            <w:proofErr w:type="spellEnd"/>
          </w:p>
        </w:tc>
        <w:tc>
          <w:tcPr>
            <w:tcW w:w="2645" w:type="dxa"/>
          </w:tcPr>
          <w:p w14:paraId="2D26BC91" w14:textId="77777777" w:rsidR="0046049E" w:rsidRPr="00225B69" w:rsidRDefault="0046049E" w:rsidP="00A247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2015</w:t>
            </w:r>
          </w:p>
        </w:tc>
        <w:tc>
          <w:tcPr>
            <w:tcW w:w="3402" w:type="dxa"/>
          </w:tcPr>
          <w:p w14:paraId="421CDFFE" w14:textId="77777777" w:rsidR="0046049E" w:rsidRPr="00225B69" w:rsidRDefault="0046049E" w:rsidP="00A247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225B69">
              <w:rPr>
                <w:rFonts w:ascii="Arial" w:hAnsi="Arial" w:cs="Arial"/>
                <w:sz w:val="20"/>
                <w:szCs w:val="20"/>
                <w:lang w:val="fr-FR"/>
              </w:rPr>
              <w:t xml:space="preserve">The Capital Group </w:t>
            </w:r>
            <w:proofErr w:type="spellStart"/>
            <w:r w:rsidRPr="00225B69">
              <w:rPr>
                <w:rFonts w:ascii="Arial" w:hAnsi="Arial" w:cs="Arial"/>
                <w:sz w:val="20"/>
                <w:szCs w:val="20"/>
                <w:lang w:val="fr-FR"/>
              </w:rPr>
              <w:t>Companies</w:t>
            </w:r>
            <w:proofErr w:type="spellEnd"/>
          </w:p>
        </w:tc>
      </w:tr>
    </w:tbl>
    <w:p w14:paraId="21E5F32F" w14:textId="77777777" w:rsidR="0046049E" w:rsidRDefault="0046049E" w:rsidP="003C396E">
      <w:pPr>
        <w:ind w:left="360"/>
        <w:jc w:val="both"/>
        <w:rPr>
          <w:rFonts w:ascii="Arial" w:hAnsi="Arial" w:cs="Arial"/>
          <w:sz w:val="24"/>
          <w:szCs w:val="24"/>
          <w:lang w:val="fr-FR"/>
        </w:rPr>
      </w:pPr>
    </w:p>
    <w:p w14:paraId="691E4EAC" w14:textId="02A1E282" w:rsidR="003A79DA" w:rsidRDefault="004430FB" w:rsidP="00621769">
      <w:pPr>
        <w:ind w:left="708"/>
        <w:jc w:val="both"/>
        <w:rPr>
          <w:rFonts w:ascii="Arial" w:hAnsi="Arial" w:cs="Arial"/>
          <w:sz w:val="24"/>
          <w:szCs w:val="24"/>
          <w:lang w:val="fr-FR"/>
        </w:rPr>
      </w:pPr>
      <w:r w:rsidRPr="00032999">
        <w:rPr>
          <w:rFonts w:ascii="Arial" w:hAnsi="Arial" w:cs="Arial"/>
          <w:sz w:val="24"/>
          <w:szCs w:val="24"/>
          <w:lang w:val="fr-FR"/>
        </w:rPr>
        <w:t>Entre 2016 et 20</w:t>
      </w:r>
      <w:r w:rsidR="00EC5A59">
        <w:rPr>
          <w:rFonts w:ascii="Arial" w:hAnsi="Arial" w:cs="Arial"/>
          <w:sz w:val="24"/>
          <w:szCs w:val="24"/>
          <w:lang w:val="fr-FR"/>
        </w:rPr>
        <w:t>19</w:t>
      </w:r>
      <w:r w:rsidRPr="00032999">
        <w:rPr>
          <w:rFonts w:ascii="Arial" w:hAnsi="Arial" w:cs="Arial"/>
          <w:sz w:val="24"/>
          <w:szCs w:val="24"/>
          <w:lang w:val="fr-FR"/>
        </w:rPr>
        <w:t xml:space="preserve">, l’activisme </w:t>
      </w:r>
      <w:r w:rsidR="00692561">
        <w:rPr>
          <w:rFonts w:ascii="Arial" w:hAnsi="Arial" w:cs="Arial"/>
          <w:sz w:val="24"/>
          <w:szCs w:val="24"/>
          <w:lang w:val="fr-FR"/>
        </w:rPr>
        <w:t xml:space="preserve">issu du seul Amber Capital </w:t>
      </w:r>
      <w:r w:rsidRPr="00032999">
        <w:rPr>
          <w:rFonts w:ascii="Arial" w:hAnsi="Arial" w:cs="Arial"/>
          <w:sz w:val="24"/>
          <w:szCs w:val="24"/>
          <w:lang w:val="fr-FR"/>
        </w:rPr>
        <w:t xml:space="preserve">était plutôt </w:t>
      </w:r>
      <w:r w:rsidR="00692561">
        <w:rPr>
          <w:rFonts w:ascii="Arial" w:hAnsi="Arial" w:cs="Arial"/>
          <w:sz w:val="24"/>
          <w:szCs w:val="24"/>
          <w:lang w:val="fr-FR"/>
        </w:rPr>
        <w:t xml:space="preserve">de nature </w:t>
      </w:r>
      <w:r w:rsidRPr="00032999">
        <w:rPr>
          <w:rFonts w:ascii="Arial" w:hAnsi="Arial" w:cs="Arial"/>
          <w:sz w:val="24"/>
          <w:szCs w:val="24"/>
          <w:lang w:val="fr-FR"/>
        </w:rPr>
        <w:t>rampant</w:t>
      </w:r>
      <w:r w:rsidR="00692561">
        <w:rPr>
          <w:rFonts w:ascii="Arial" w:hAnsi="Arial" w:cs="Arial"/>
          <w:sz w:val="24"/>
          <w:szCs w:val="24"/>
          <w:lang w:val="fr-FR"/>
        </w:rPr>
        <w:t>e</w:t>
      </w:r>
      <w:r w:rsidR="004D5352">
        <w:rPr>
          <w:rFonts w:ascii="Arial" w:hAnsi="Arial" w:cs="Arial"/>
          <w:sz w:val="24"/>
          <w:szCs w:val="24"/>
          <w:lang w:val="fr-FR"/>
        </w:rPr>
        <w:t xml:space="preserve">, </w:t>
      </w:r>
      <w:r w:rsidRPr="00032999">
        <w:rPr>
          <w:rFonts w:ascii="Arial" w:hAnsi="Arial" w:cs="Arial"/>
          <w:sz w:val="24"/>
          <w:szCs w:val="24"/>
          <w:lang w:val="fr-FR"/>
        </w:rPr>
        <w:t xml:space="preserve">même </w:t>
      </w:r>
      <w:r w:rsidR="004D5352">
        <w:rPr>
          <w:rFonts w:ascii="Arial" w:hAnsi="Arial" w:cs="Arial"/>
          <w:sz w:val="24"/>
          <w:szCs w:val="24"/>
          <w:lang w:val="fr-FR"/>
        </w:rPr>
        <w:t>s’il n’a jamais caché ses volontés de faire évoluer le modèle juridique de l’entreprise</w:t>
      </w:r>
      <w:r w:rsidR="00EE4C95">
        <w:rPr>
          <w:rFonts w:ascii="Arial" w:hAnsi="Arial" w:cs="Arial"/>
          <w:sz w:val="24"/>
          <w:szCs w:val="24"/>
          <w:lang w:val="fr-FR"/>
        </w:rPr>
        <w:t xml:space="preserve">. </w:t>
      </w:r>
      <w:r w:rsidR="002F3033">
        <w:rPr>
          <w:rFonts w:ascii="Arial" w:hAnsi="Arial" w:cs="Arial"/>
          <w:sz w:val="24"/>
          <w:szCs w:val="24"/>
          <w:lang w:val="fr-FR"/>
        </w:rPr>
        <w:t>I</w:t>
      </w:r>
      <w:r w:rsidRPr="00032999">
        <w:rPr>
          <w:rFonts w:ascii="Arial" w:hAnsi="Arial" w:cs="Arial"/>
          <w:sz w:val="24"/>
          <w:szCs w:val="24"/>
          <w:lang w:val="fr-FR"/>
        </w:rPr>
        <w:t xml:space="preserve">l est devenu beaucoup plus pressant à la suite des pertes encourues pour les placements réalisés </w:t>
      </w:r>
      <w:r>
        <w:rPr>
          <w:rFonts w:ascii="Arial" w:hAnsi="Arial" w:cs="Arial"/>
          <w:sz w:val="24"/>
          <w:szCs w:val="24"/>
          <w:lang w:val="fr-FR"/>
        </w:rPr>
        <w:t xml:space="preserve">à </w:t>
      </w:r>
      <w:r w:rsidR="001425F0">
        <w:rPr>
          <w:rFonts w:ascii="Arial" w:hAnsi="Arial" w:cs="Arial"/>
          <w:sz w:val="24"/>
          <w:szCs w:val="24"/>
          <w:lang w:val="fr-FR"/>
        </w:rPr>
        <w:t>partir de</w:t>
      </w:r>
      <w:r>
        <w:rPr>
          <w:rFonts w:ascii="Arial" w:hAnsi="Arial" w:cs="Arial"/>
          <w:sz w:val="24"/>
          <w:szCs w:val="24"/>
          <w:lang w:val="fr-FR"/>
        </w:rPr>
        <w:t xml:space="preserve"> </w:t>
      </w:r>
      <w:r w:rsidRPr="00032999">
        <w:rPr>
          <w:rFonts w:ascii="Arial" w:hAnsi="Arial" w:cs="Arial"/>
          <w:sz w:val="24"/>
          <w:szCs w:val="24"/>
          <w:lang w:val="fr-FR"/>
        </w:rPr>
        <w:t>mi-mars 2020. Dans cette optique, on peut penser que l’accroissement de la pression exercée sur Arnaud Lagardère s’expliquer</w:t>
      </w:r>
      <w:r w:rsidR="002161C2">
        <w:rPr>
          <w:rFonts w:ascii="Arial" w:hAnsi="Arial" w:cs="Arial"/>
          <w:sz w:val="24"/>
          <w:szCs w:val="24"/>
          <w:lang w:val="fr-FR"/>
        </w:rPr>
        <w:t>ait</w:t>
      </w:r>
      <w:r w:rsidRPr="00032999">
        <w:rPr>
          <w:rFonts w:ascii="Arial" w:hAnsi="Arial" w:cs="Arial"/>
          <w:sz w:val="24"/>
          <w:szCs w:val="24"/>
          <w:lang w:val="fr-FR"/>
        </w:rPr>
        <w:t xml:space="preserve"> par un </w:t>
      </w:r>
      <w:proofErr w:type="spellStart"/>
      <w:r w:rsidRPr="00032999">
        <w:rPr>
          <w:rFonts w:ascii="Arial" w:hAnsi="Arial" w:cs="Arial"/>
          <w:sz w:val="24"/>
          <w:szCs w:val="24"/>
          <w:lang w:val="fr-FR"/>
        </w:rPr>
        <w:t>market</w:t>
      </w:r>
      <w:proofErr w:type="spellEnd"/>
      <w:r w:rsidRPr="00032999">
        <w:rPr>
          <w:rFonts w:ascii="Arial" w:hAnsi="Arial" w:cs="Arial"/>
          <w:sz w:val="24"/>
          <w:szCs w:val="24"/>
          <w:lang w:val="fr-FR"/>
        </w:rPr>
        <w:t xml:space="preserve"> </w:t>
      </w:r>
      <w:proofErr w:type="gramStart"/>
      <w:r w:rsidRPr="00032999">
        <w:rPr>
          <w:rFonts w:ascii="Arial" w:hAnsi="Arial" w:cs="Arial"/>
          <w:sz w:val="24"/>
          <w:szCs w:val="24"/>
          <w:lang w:val="fr-FR"/>
        </w:rPr>
        <w:t>timing</w:t>
      </w:r>
      <w:proofErr w:type="gramEnd"/>
      <w:r w:rsidRPr="00032999">
        <w:rPr>
          <w:rFonts w:ascii="Arial" w:hAnsi="Arial" w:cs="Arial"/>
          <w:sz w:val="24"/>
          <w:szCs w:val="24"/>
          <w:lang w:val="fr-FR"/>
        </w:rPr>
        <w:t xml:space="preserve"> peu judicieux.</w:t>
      </w:r>
    </w:p>
    <w:p w14:paraId="3D8B2FFA" w14:textId="2700D9F9" w:rsidR="007E6FEE" w:rsidRDefault="0060455D" w:rsidP="00621769">
      <w:pPr>
        <w:ind w:left="708"/>
        <w:jc w:val="both"/>
        <w:rPr>
          <w:rFonts w:ascii="Arial" w:hAnsi="Arial" w:cs="Arial"/>
          <w:sz w:val="24"/>
          <w:szCs w:val="24"/>
          <w:lang w:val="fr-FR"/>
        </w:rPr>
      </w:pPr>
      <w:r w:rsidRPr="00032999">
        <w:rPr>
          <w:rFonts w:ascii="Arial" w:hAnsi="Arial" w:cs="Arial"/>
          <w:sz w:val="24"/>
          <w:szCs w:val="24"/>
          <w:lang w:val="fr-FR"/>
        </w:rPr>
        <w:lastRenderedPageBreak/>
        <w:t xml:space="preserve">Les modifications opérées </w:t>
      </w:r>
      <w:r w:rsidR="00F46094">
        <w:rPr>
          <w:rFonts w:ascii="Arial" w:hAnsi="Arial" w:cs="Arial"/>
          <w:sz w:val="24"/>
          <w:szCs w:val="24"/>
          <w:lang w:val="fr-FR"/>
        </w:rPr>
        <w:t xml:space="preserve">au sein du Conseil </w:t>
      </w:r>
      <w:r w:rsidR="00075C79">
        <w:rPr>
          <w:rFonts w:ascii="Arial" w:hAnsi="Arial" w:cs="Arial"/>
          <w:sz w:val="24"/>
          <w:szCs w:val="24"/>
          <w:lang w:val="fr-FR"/>
        </w:rPr>
        <w:t>ont p</w:t>
      </w:r>
      <w:r w:rsidR="00B95CC0">
        <w:rPr>
          <w:rFonts w:ascii="Arial" w:hAnsi="Arial" w:cs="Arial"/>
          <w:sz w:val="24"/>
          <w:szCs w:val="24"/>
          <w:lang w:val="fr-FR"/>
        </w:rPr>
        <w:t>our objectif de rencontrer soit</w:t>
      </w:r>
      <w:r w:rsidR="00075C79">
        <w:rPr>
          <w:rFonts w:ascii="Arial" w:hAnsi="Arial" w:cs="Arial"/>
          <w:sz w:val="24"/>
          <w:szCs w:val="24"/>
          <w:lang w:val="fr-FR"/>
        </w:rPr>
        <w:t xml:space="preserve"> la vision pro-Lagardère</w:t>
      </w:r>
      <w:r w:rsidR="00B95CC0">
        <w:rPr>
          <w:rFonts w:ascii="Arial" w:hAnsi="Arial" w:cs="Arial"/>
          <w:sz w:val="24"/>
          <w:szCs w:val="24"/>
          <w:lang w:val="fr-FR"/>
        </w:rPr>
        <w:t xml:space="preserve">, soit la vision </w:t>
      </w:r>
      <w:r w:rsidR="003A1E2C">
        <w:rPr>
          <w:rFonts w:ascii="Arial" w:hAnsi="Arial" w:cs="Arial"/>
          <w:sz w:val="24"/>
          <w:szCs w:val="24"/>
          <w:lang w:val="fr-FR"/>
        </w:rPr>
        <w:t xml:space="preserve">d’une </w:t>
      </w:r>
      <w:r w:rsidR="00B95CC0">
        <w:rPr>
          <w:rFonts w:ascii="Arial" w:hAnsi="Arial" w:cs="Arial"/>
          <w:sz w:val="24"/>
          <w:szCs w:val="24"/>
          <w:lang w:val="fr-FR"/>
        </w:rPr>
        <w:t>remise en question de la position d’Arnault Lagardère</w:t>
      </w:r>
      <w:r w:rsidR="002161C2">
        <w:rPr>
          <w:rFonts w:ascii="Arial" w:hAnsi="Arial" w:cs="Arial"/>
          <w:sz w:val="24"/>
          <w:szCs w:val="24"/>
          <w:lang w:val="fr-FR"/>
        </w:rPr>
        <w:t> :</w:t>
      </w:r>
      <w:r w:rsidR="003A1E2C">
        <w:rPr>
          <w:rFonts w:ascii="Arial" w:hAnsi="Arial" w:cs="Arial"/>
          <w:sz w:val="24"/>
          <w:szCs w:val="24"/>
          <w:lang w:val="fr-FR"/>
        </w:rPr>
        <w:t xml:space="preserve"> pour faire simple soit le maintien de la Commandite par Action</w:t>
      </w:r>
      <w:r w:rsidR="00621769">
        <w:rPr>
          <w:rFonts w:ascii="Arial" w:hAnsi="Arial" w:cs="Arial"/>
          <w:sz w:val="24"/>
          <w:szCs w:val="24"/>
          <w:lang w:val="fr-FR"/>
        </w:rPr>
        <w:t>s</w:t>
      </w:r>
      <w:r w:rsidR="003A1E2C">
        <w:rPr>
          <w:rFonts w:ascii="Arial" w:hAnsi="Arial" w:cs="Arial"/>
          <w:sz w:val="24"/>
          <w:szCs w:val="24"/>
          <w:lang w:val="fr-FR"/>
        </w:rPr>
        <w:t xml:space="preserve">, soit le passage vers une Société </w:t>
      </w:r>
      <w:r w:rsidR="00B30880">
        <w:rPr>
          <w:rFonts w:ascii="Arial" w:hAnsi="Arial" w:cs="Arial"/>
          <w:sz w:val="24"/>
          <w:szCs w:val="24"/>
          <w:lang w:val="fr-FR"/>
        </w:rPr>
        <w:t xml:space="preserve">Anonyme classique </w:t>
      </w:r>
      <w:r w:rsidR="003A1E2C">
        <w:rPr>
          <w:rFonts w:ascii="Arial" w:hAnsi="Arial" w:cs="Arial"/>
          <w:sz w:val="24"/>
          <w:szCs w:val="24"/>
          <w:lang w:val="fr-FR"/>
        </w:rPr>
        <w:t xml:space="preserve">avec </w:t>
      </w:r>
      <w:r w:rsidR="00B30880">
        <w:rPr>
          <w:rFonts w:ascii="Arial" w:hAnsi="Arial" w:cs="Arial"/>
          <w:sz w:val="24"/>
          <w:szCs w:val="24"/>
          <w:lang w:val="fr-FR"/>
        </w:rPr>
        <w:t>un Conseil d’Administration</w:t>
      </w:r>
      <w:r w:rsidR="0039343D">
        <w:rPr>
          <w:rFonts w:ascii="Arial" w:hAnsi="Arial" w:cs="Arial"/>
          <w:sz w:val="24"/>
          <w:szCs w:val="24"/>
          <w:lang w:val="fr-FR"/>
        </w:rPr>
        <w:t xml:space="preserve"> et un po</w:t>
      </w:r>
      <w:r w:rsidR="007C5789">
        <w:rPr>
          <w:rFonts w:ascii="Arial" w:hAnsi="Arial" w:cs="Arial"/>
          <w:sz w:val="24"/>
          <w:szCs w:val="24"/>
          <w:lang w:val="fr-FR"/>
        </w:rPr>
        <w:t xml:space="preserve">uvoir </w:t>
      </w:r>
      <w:r w:rsidR="0039343D">
        <w:rPr>
          <w:rFonts w:ascii="Arial" w:hAnsi="Arial" w:cs="Arial"/>
          <w:sz w:val="24"/>
          <w:szCs w:val="24"/>
          <w:lang w:val="fr-FR"/>
        </w:rPr>
        <w:t>équivalant au pourcentage de capital détenu</w:t>
      </w:r>
      <w:r w:rsidR="00B30880">
        <w:rPr>
          <w:rFonts w:ascii="Arial" w:hAnsi="Arial" w:cs="Arial"/>
          <w:sz w:val="24"/>
          <w:szCs w:val="24"/>
          <w:lang w:val="fr-FR"/>
        </w:rPr>
        <w:t xml:space="preserve">. </w:t>
      </w:r>
      <w:r w:rsidR="007C5789">
        <w:rPr>
          <w:rFonts w:ascii="Arial" w:hAnsi="Arial" w:cs="Arial"/>
          <w:sz w:val="24"/>
          <w:szCs w:val="24"/>
          <w:lang w:val="fr-FR"/>
        </w:rPr>
        <w:t xml:space="preserve">Les </w:t>
      </w:r>
      <w:r w:rsidR="002235F6">
        <w:rPr>
          <w:rFonts w:ascii="Arial" w:hAnsi="Arial" w:cs="Arial"/>
          <w:sz w:val="24"/>
          <w:szCs w:val="24"/>
          <w:lang w:val="fr-FR"/>
        </w:rPr>
        <w:t xml:space="preserve">évolutions </w:t>
      </w:r>
      <w:r w:rsidR="00B555E2">
        <w:rPr>
          <w:rFonts w:ascii="Arial" w:hAnsi="Arial" w:cs="Arial"/>
          <w:sz w:val="24"/>
          <w:szCs w:val="24"/>
          <w:lang w:val="fr-FR"/>
        </w:rPr>
        <w:t xml:space="preserve">entre février et mai 2020 </w:t>
      </w:r>
      <w:r w:rsidR="002235F6">
        <w:rPr>
          <w:rFonts w:ascii="Arial" w:hAnsi="Arial" w:cs="Arial"/>
          <w:sz w:val="24"/>
          <w:szCs w:val="24"/>
          <w:lang w:val="fr-FR"/>
        </w:rPr>
        <w:t>dans l</w:t>
      </w:r>
      <w:r w:rsidR="007C5789">
        <w:rPr>
          <w:rFonts w:ascii="Arial" w:hAnsi="Arial" w:cs="Arial"/>
          <w:sz w:val="24"/>
          <w:szCs w:val="24"/>
          <w:lang w:val="fr-FR"/>
        </w:rPr>
        <w:t xml:space="preserve">e Conseil de Surveillance </w:t>
      </w:r>
      <w:r w:rsidRPr="00032999">
        <w:rPr>
          <w:rFonts w:ascii="Arial" w:hAnsi="Arial" w:cs="Arial"/>
          <w:sz w:val="24"/>
          <w:szCs w:val="24"/>
          <w:lang w:val="fr-FR"/>
        </w:rPr>
        <w:t>vont toutes dans le sens d’une consolidation de la coloration pro-</w:t>
      </w:r>
      <w:proofErr w:type="spellStart"/>
      <w:r w:rsidRPr="00032999">
        <w:rPr>
          <w:rFonts w:ascii="Arial" w:hAnsi="Arial" w:cs="Arial"/>
          <w:sz w:val="24"/>
          <w:szCs w:val="24"/>
          <w:lang w:val="fr-FR"/>
        </w:rPr>
        <w:t>Largardère</w:t>
      </w:r>
      <w:proofErr w:type="spellEnd"/>
      <w:r w:rsidRPr="00032999">
        <w:rPr>
          <w:rFonts w:ascii="Arial" w:hAnsi="Arial" w:cs="Arial"/>
          <w:sz w:val="24"/>
          <w:szCs w:val="24"/>
          <w:lang w:val="fr-FR"/>
        </w:rPr>
        <w:t xml:space="preserve"> : ainsi, Yves Guillemot (fondateur de </w:t>
      </w:r>
      <w:proofErr w:type="spellStart"/>
      <w:r w:rsidRPr="00032999">
        <w:rPr>
          <w:rFonts w:ascii="Arial" w:hAnsi="Arial" w:cs="Arial"/>
          <w:sz w:val="24"/>
          <w:szCs w:val="24"/>
          <w:lang w:val="fr-FR"/>
        </w:rPr>
        <w:t>Gameloft</w:t>
      </w:r>
      <w:proofErr w:type="spellEnd"/>
      <w:r w:rsidRPr="00032999">
        <w:rPr>
          <w:rFonts w:ascii="Arial" w:hAnsi="Arial" w:cs="Arial"/>
          <w:sz w:val="24"/>
          <w:szCs w:val="24"/>
          <w:lang w:val="fr-FR"/>
        </w:rPr>
        <w:t xml:space="preserve">) a démissionné en août 2018. On peut penser que l’implication de Amber dans la reprise de </w:t>
      </w:r>
      <w:proofErr w:type="spellStart"/>
      <w:r w:rsidRPr="00032999">
        <w:rPr>
          <w:rFonts w:ascii="Arial" w:hAnsi="Arial" w:cs="Arial"/>
          <w:sz w:val="24"/>
          <w:szCs w:val="24"/>
          <w:lang w:val="fr-FR"/>
        </w:rPr>
        <w:t>Gameloft</w:t>
      </w:r>
      <w:proofErr w:type="spellEnd"/>
      <w:r w:rsidRPr="00032999">
        <w:rPr>
          <w:rFonts w:ascii="Arial" w:hAnsi="Arial" w:cs="Arial"/>
          <w:sz w:val="24"/>
          <w:szCs w:val="24"/>
          <w:lang w:val="fr-FR"/>
        </w:rPr>
        <w:t xml:space="preserve"> par Vivendi en 2016 ne lui permettait d’exercer un regard impartial sur les mouvements opérés sur le capital de Lagardère. Valérie Bernis, proche de Bernard Arnault (par l’intermédiaire de LVMH) a remplacé Aline Sylla, estampillée groupe Kering. Valérie Bernis </w:t>
      </w:r>
      <w:r w:rsidR="00B22245">
        <w:rPr>
          <w:rFonts w:ascii="Arial" w:hAnsi="Arial" w:cs="Arial"/>
          <w:sz w:val="24"/>
          <w:szCs w:val="24"/>
          <w:lang w:val="fr-FR"/>
        </w:rPr>
        <w:t>a dû</w:t>
      </w:r>
      <w:r w:rsidRPr="00032999">
        <w:rPr>
          <w:rFonts w:ascii="Arial" w:hAnsi="Arial" w:cs="Arial"/>
          <w:sz w:val="24"/>
          <w:szCs w:val="24"/>
          <w:lang w:val="fr-FR"/>
        </w:rPr>
        <w:t xml:space="preserve"> également être en contact avec la représentation d’Amber Capital au sein de Suez et d’Engie. Les arrivées de Nicolas Sarkozy et Guillaume </w:t>
      </w:r>
      <w:proofErr w:type="spellStart"/>
      <w:r w:rsidRPr="00032999">
        <w:rPr>
          <w:rFonts w:ascii="Arial" w:hAnsi="Arial" w:cs="Arial"/>
          <w:sz w:val="24"/>
          <w:szCs w:val="24"/>
          <w:lang w:val="fr-FR"/>
        </w:rPr>
        <w:t>Pepy</w:t>
      </w:r>
      <w:proofErr w:type="spellEnd"/>
      <w:r w:rsidRPr="00032999">
        <w:rPr>
          <w:rFonts w:ascii="Arial" w:hAnsi="Arial" w:cs="Arial"/>
          <w:sz w:val="24"/>
          <w:szCs w:val="24"/>
          <w:lang w:val="fr-FR"/>
        </w:rPr>
        <w:t xml:space="preserve"> ont manifestement pour objectif de raffermir la position d’Arnaud Lagardère au sein du groupe.</w:t>
      </w:r>
      <w:r w:rsidRPr="00032999">
        <w:rPr>
          <w:rFonts w:ascii="Arial" w:hAnsi="Arial" w:cs="Arial"/>
          <w:sz w:val="24"/>
          <w:szCs w:val="24"/>
        </w:rPr>
        <w:t xml:space="preserve"> </w:t>
      </w:r>
      <w:r w:rsidRPr="00032999">
        <w:rPr>
          <w:rFonts w:ascii="Arial" w:hAnsi="Arial" w:cs="Arial"/>
          <w:sz w:val="24"/>
          <w:szCs w:val="24"/>
          <w:lang w:val="fr-FR"/>
        </w:rPr>
        <w:t xml:space="preserve">Des relations personnelles et privilégiées entre les familles Lagardère, Arnault, Sarkozy et Bolloré ont été nouées de longue date, dont la clé de voûte semble être l’ancien Président de la République. A titre illustratif, après son élection en 2007, Nicolas Sarkozy se détend pendant trois jours sur La Paloma, un yacht de luxe, propriété de Vincent Bolloré. Nicolas Sarkozy, alors ministre de l'Economie en 2004, a </w:t>
      </w:r>
      <w:r w:rsidR="00F15AFD">
        <w:rPr>
          <w:rFonts w:ascii="Arial" w:hAnsi="Arial" w:cs="Arial"/>
          <w:sz w:val="24"/>
          <w:szCs w:val="24"/>
          <w:lang w:val="fr-FR"/>
        </w:rPr>
        <w:t xml:space="preserve">également </w:t>
      </w:r>
      <w:r w:rsidRPr="00032999">
        <w:rPr>
          <w:rFonts w:ascii="Arial" w:hAnsi="Arial" w:cs="Arial"/>
          <w:sz w:val="24"/>
          <w:szCs w:val="24"/>
          <w:lang w:val="fr-FR"/>
        </w:rPr>
        <w:t>réussi à dénouer la succession complexe à la suite du décès de Jean-Luc Lagardère. Au mariage de Nicolas et Cécilia Sarkozy en 1996, Bernard Arnault fut le témoin du marié. Des relations privilégiées ont historiquement également été nouées avec le fonds qatari</w:t>
      </w:r>
      <w:r w:rsidR="00DA258B">
        <w:rPr>
          <w:rFonts w:ascii="Arial" w:hAnsi="Arial" w:cs="Arial"/>
          <w:sz w:val="24"/>
          <w:szCs w:val="24"/>
          <w:lang w:val="fr-FR"/>
        </w:rPr>
        <w:t xml:space="preserve"> (voir l’analyse du cas ACCO</w:t>
      </w:r>
      <w:r w:rsidR="00991423">
        <w:rPr>
          <w:rFonts w:ascii="Arial" w:hAnsi="Arial" w:cs="Arial"/>
          <w:sz w:val="24"/>
          <w:szCs w:val="24"/>
          <w:lang w:val="fr-FR"/>
        </w:rPr>
        <w:t>R)</w:t>
      </w:r>
      <w:r w:rsidRPr="00032999">
        <w:rPr>
          <w:rFonts w:ascii="Arial" w:hAnsi="Arial" w:cs="Arial"/>
          <w:sz w:val="24"/>
          <w:szCs w:val="24"/>
          <w:lang w:val="fr-FR"/>
        </w:rPr>
        <w:t xml:space="preserve">. </w:t>
      </w:r>
    </w:p>
    <w:p w14:paraId="117A9DB8" w14:textId="2FBC5403" w:rsidR="0060455D" w:rsidRDefault="0060455D" w:rsidP="001C0217">
      <w:pPr>
        <w:ind w:left="708"/>
        <w:jc w:val="both"/>
        <w:rPr>
          <w:rFonts w:ascii="Arial" w:hAnsi="Arial" w:cs="Arial"/>
          <w:sz w:val="24"/>
          <w:szCs w:val="24"/>
          <w:lang w:val="fr-FR"/>
        </w:rPr>
      </w:pPr>
      <w:r w:rsidRPr="00032999">
        <w:rPr>
          <w:rFonts w:ascii="Arial" w:hAnsi="Arial" w:cs="Arial"/>
          <w:sz w:val="24"/>
          <w:szCs w:val="24"/>
          <w:lang w:val="fr-FR"/>
        </w:rPr>
        <w:t xml:space="preserve">Guillaume </w:t>
      </w:r>
      <w:proofErr w:type="spellStart"/>
      <w:r w:rsidRPr="00032999">
        <w:rPr>
          <w:rFonts w:ascii="Arial" w:hAnsi="Arial" w:cs="Arial"/>
          <w:sz w:val="24"/>
          <w:szCs w:val="24"/>
          <w:lang w:val="fr-FR"/>
        </w:rPr>
        <w:t>Pepy</w:t>
      </w:r>
      <w:proofErr w:type="spellEnd"/>
      <w:r w:rsidRPr="00032999">
        <w:rPr>
          <w:rFonts w:ascii="Arial" w:hAnsi="Arial" w:cs="Arial"/>
          <w:sz w:val="24"/>
          <w:szCs w:val="24"/>
          <w:lang w:val="fr-FR"/>
        </w:rPr>
        <w:t xml:space="preserve"> a, quant à lui, été nommé à la direction de la SNCF en 2008 par Nicolas Sarkozy. </w:t>
      </w:r>
      <w:r w:rsidR="007E6FEE">
        <w:rPr>
          <w:rFonts w:ascii="Arial" w:hAnsi="Arial" w:cs="Arial"/>
          <w:sz w:val="24"/>
          <w:szCs w:val="24"/>
          <w:lang w:val="fr-FR"/>
        </w:rPr>
        <w:t>S</w:t>
      </w:r>
      <w:r w:rsidRPr="00032999">
        <w:rPr>
          <w:rFonts w:ascii="Arial" w:hAnsi="Arial" w:cs="Arial"/>
          <w:sz w:val="24"/>
          <w:szCs w:val="24"/>
          <w:lang w:val="fr-FR"/>
        </w:rPr>
        <w:t xml:space="preserve">on rôle officiel serait d’orienter la stratégie du pôle </w:t>
      </w:r>
      <w:proofErr w:type="spellStart"/>
      <w:r w:rsidRPr="00032999">
        <w:rPr>
          <w:rFonts w:ascii="Arial" w:hAnsi="Arial" w:cs="Arial"/>
          <w:sz w:val="24"/>
          <w:szCs w:val="24"/>
          <w:lang w:val="fr-FR"/>
        </w:rPr>
        <w:t>travel</w:t>
      </w:r>
      <w:proofErr w:type="spellEnd"/>
      <w:r w:rsidRPr="00032999">
        <w:rPr>
          <w:rFonts w:ascii="Arial" w:hAnsi="Arial" w:cs="Arial"/>
          <w:sz w:val="24"/>
          <w:szCs w:val="24"/>
          <w:lang w:val="fr-FR"/>
        </w:rPr>
        <w:t xml:space="preserve"> </w:t>
      </w:r>
      <w:proofErr w:type="spellStart"/>
      <w:r w:rsidRPr="00032999">
        <w:rPr>
          <w:rFonts w:ascii="Arial" w:hAnsi="Arial" w:cs="Arial"/>
          <w:sz w:val="24"/>
          <w:szCs w:val="24"/>
          <w:lang w:val="fr-FR"/>
        </w:rPr>
        <w:t>retail</w:t>
      </w:r>
      <w:proofErr w:type="spellEnd"/>
      <w:r w:rsidRPr="00032999">
        <w:rPr>
          <w:rFonts w:ascii="Arial" w:hAnsi="Arial" w:cs="Arial"/>
          <w:sz w:val="24"/>
          <w:szCs w:val="24"/>
          <w:lang w:val="fr-FR"/>
        </w:rPr>
        <w:t xml:space="preserve"> du groupe et la gestion des boutiques implantées dans des lieux de transport. Pour ce qui est de Patrick </w:t>
      </w:r>
      <w:proofErr w:type="spellStart"/>
      <w:r w:rsidRPr="00032999">
        <w:rPr>
          <w:rFonts w:ascii="Arial" w:hAnsi="Arial" w:cs="Arial"/>
          <w:sz w:val="24"/>
          <w:szCs w:val="24"/>
          <w:lang w:val="fr-FR"/>
        </w:rPr>
        <w:t>Valroff</w:t>
      </w:r>
      <w:proofErr w:type="spellEnd"/>
      <w:r w:rsidRPr="00032999">
        <w:rPr>
          <w:rFonts w:ascii="Arial" w:hAnsi="Arial" w:cs="Arial"/>
          <w:sz w:val="24"/>
          <w:szCs w:val="24"/>
          <w:lang w:val="fr-FR"/>
        </w:rPr>
        <w:t xml:space="preserve"> (directeur des services financiers spécialisés du Crédit Agricole), les liens financiers avec le Crédit Agricole interpellent sur la solidité de la holding personnelle d’Arnaud Lagardère puisque celui-ci supportait une dette de 215 millions d'euros fin 2019 dont l’'essentiel était constitué d’un prêt du Crédit </w:t>
      </w:r>
      <w:r w:rsidR="00ED59FC">
        <w:rPr>
          <w:rFonts w:ascii="Arial" w:hAnsi="Arial" w:cs="Arial"/>
          <w:sz w:val="24"/>
          <w:szCs w:val="24"/>
          <w:lang w:val="fr-FR"/>
        </w:rPr>
        <w:t>A</w:t>
      </w:r>
      <w:r w:rsidRPr="00032999">
        <w:rPr>
          <w:rFonts w:ascii="Arial" w:hAnsi="Arial" w:cs="Arial"/>
          <w:sz w:val="24"/>
          <w:szCs w:val="24"/>
          <w:lang w:val="fr-FR"/>
        </w:rPr>
        <w:t xml:space="preserve">gricole de 164 millions d'euros.  Jamal </w:t>
      </w:r>
      <w:proofErr w:type="spellStart"/>
      <w:r w:rsidRPr="00032999">
        <w:rPr>
          <w:rFonts w:ascii="Arial" w:hAnsi="Arial" w:cs="Arial"/>
          <w:sz w:val="24"/>
          <w:szCs w:val="24"/>
          <w:lang w:val="fr-FR"/>
        </w:rPr>
        <w:t>Benomar</w:t>
      </w:r>
      <w:proofErr w:type="spellEnd"/>
      <w:r w:rsidRPr="00032999">
        <w:rPr>
          <w:rFonts w:ascii="Arial" w:hAnsi="Arial" w:cs="Arial"/>
          <w:sz w:val="24"/>
          <w:szCs w:val="24"/>
          <w:lang w:val="fr-FR"/>
        </w:rPr>
        <w:t xml:space="preserve"> est généralement labellisé comme représentant des intérêts qataris dans le groupe Lagardère ; Susan </w:t>
      </w:r>
      <w:proofErr w:type="spellStart"/>
      <w:r w:rsidRPr="00032999">
        <w:rPr>
          <w:rFonts w:ascii="Arial" w:hAnsi="Arial" w:cs="Arial"/>
          <w:sz w:val="24"/>
          <w:szCs w:val="24"/>
          <w:lang w:val="fr-FR"/>
        </w:rPr>
        <w:t>Tolson</w:t>
      </w:r>
      <w:proofErr w:type="spellEnd"/>
      <w:r w:rsidRPr="00032999">
        <w:rPr>
          <w:rFonts w:ascii="Arial" w:hAnsi="Arial" w:cs="Arial"/>
          <w:sz w:val="24"/>
          <w:szCs w:val="24"/>
          <w:lang w:val="fr-FR"/>
        </w:rPr>
        <w:t xml:space="preserve"> représente The Capital Group </w:t>
      </w:r>
      <w:proofErr w:type="spellStart"/>
      <w:r w:rsidRPr="00032999">
        <w:rPr>
          <w:rFonts w:ascii="Arial" w:hAnsi="Arial" w:cs="Arial"/>
          <w:sz w:val="24"/>
          <w:szCs w:val="24"/>
          <w:lang w:val="fr-FR"/>
        </w:rPr>
        <w:t>Companies</w:t>
      </w:r>
      <w:proofErr w:type="spellEnd"/>
      <w:r w:rsidRPr="00032999">
        <w:rPr>
          <w:rFonts w:ascii="Arial" w:hAnsi="Arial" w:cs="Arial"/>
          <w:sz w:val="24"/>
          <w:szCs w:val="24"/>
          <w:lang w:val="fr-FR"/>
        </w:rPr>
        <w:t xml:space="preserve"> (considéré comme un investisseur institutionnel de court terme) et aguerrie aux opérations de mouvements de capital en fonction de sa position au sein de Wor</w:t>
      </w:r>
      <w:r>
        <w:rPr>
          <w:rFonts w:ascii="Arial" w:hAnsi="Arial" w:cs="Arial"/>
          <w:sz w:val="24"/>
          <w:szCs w:val="24"/>
          <w:lang w:val="fr-FR"/>
        </w:rPr>
        <w:t>l</w:t>
      </w:r>
      <w:r w:rsidRPr="00032999">
        <w:rPr>
          <w:rFonts w:ascii="Arial" w:hAnsi="Arial" w:cs="Arial"/>
          <w:sz w:val="24"/>
          <w:szCs w:val="24"/>
          <w:lang w:val="fr-FR"/>
        </w:rPr>
        <w:t>dline.</w:t>
      </w:r>
    </w:p>
    <w:p w14:paraId="78C9BBC8" w14:textId="4A3B91C6" w:rsidR="001C0217" w:rsidRDefault="00470579" w:rsidP="001C0217">
      <w:pPr>
        <w:ind w:left="708"/>
        <w:jc w:val="both"/>
        <w:rPr>
          <w:rFonts w:ascii="Arial" w:hAnsi="Arial" w:cs="Arial"/>
          <w:sz w:val="24"/>
          <w:szCs w:val="24"/>
          <w:lang w:val="fr-FR"/>
        </w:rPr>
      </w:pPr>
      <w:r>
        <w:rPr>
          <w:rFonts w:ascii="Arial" w:hAnsi="Arial" w:cs="Arial"/>
          <w:sz w:val="24"/>
          <w:szCs w:val="24"/>
          <w:lang w:val="fr-FR"/>
        </w:rPr>
        <w:t xml:space="preserve">Les mouvements opérés </w:t>
      </w:r>
      <w:r w:rsidR="00737AA4">
        <w:rPr>
          <w:rFonts w:ascii="Arial" w:hAnsi="Arial" w:cs="Arial"/>
          <w:sz w:val="24"/>
          <w:szCs w:val="24"/>
          <w:lang w:val="fr-FR"/>
        </w:rPr>
        <w:t xml:space="preserve">dans le Conseil </w:t>
      </w:r>
      <w:r>
        <w:rPr>
          <w:rFonts w:ascii="Arial" w:hAnsi="Arial" w:cs="Arial"/>
          <w:sz w:val="24"/>
          <w:szCs w:val="24"/>
          <w:lang w:val="fr-FR"/>
        </w:rPr>
        <w:t>collent au calendrier</w:t>
      </w:r>
      <w:r w:rsidR="00690A15">
        <w:rPr>
          <w:rFonts w:ascii="Arial" w:hAnsi="Arial" w:cs="Arial"/>
          <w:sz w:val="24"/>
          <w:szCs w:val="24"/>
          <w:lang w:val="fr-FR"/>
        </w:rPr>
        <w:t xml:space="preserve"> des premières prises de participations par </w:t>
      </w:r>
      <w:r w:rsidR="001C0217">
        <w:rPr>
          <w:rFonts w:ascii="Arial" w:hAnsi="Arial" w:cs="Arial"/>
          <w:sz w:val="24"/>
          <w:szCs w:val="24"/>
          <w:lang w:val="fr-FR"/>
        </w:rPr>
        <w:t>Vivendi</w:t>
      </w:r>
      <w:r w:rsidR="00690A15">
        <w:rPr>
          <w:rFonts w:ascii="Arial" w:hAnsi="Arial" w:cs="Arial"/>
          <w:sz w:val="24"/>
          <w:szCs w:val="24"/>
          <w:lang w:val="fr-FR"/>
        </w:rPr>
        <w:t xml:space="preserve">. </w:t>
      </w:r>
      <w:r w:rsidR="00BB0A22">
        <w:rPr>
          <w:rFonts w:ascii="Arial" w:hAnsi="Arial" w:cs="Arial"/>
          <w:sz w:val="24"/>
          <w:szCs w:val="24"/>
          <w:lang w:val="fr-FR"/>
        </w:rPr>
        <w:t xml:space="preserve">En effet, celles-ci auraient </w:t>
      </w:r>
      <w:r w:rsidR="001C0217">
        <w:rPr>
          <w:rFonts w:ascii="Arial" w:hAnsi="Arial" w:cs="Arial"/>
          <w:sz w:val="24"/>
          <w:szCs w:val="24"/>
          <w:lang w:val="fr-FR"/>
        </w:rPr>
        <w:t>été</w:t>
      </w:r>
      <w:r w:rsidR="001C0217" w:rsidRPr="00FA7062">
        <w:rPr>
          <w:rFonts w:ascii="Arial" w:hAnsi="Arial" w:cs="Arial"/>
          <w:sz w:val="24"/>
          <w:szCs w:val="24"/>
          <w:lang w:val="fr-FR"/>
        </w:rPr>
        <w:t xml:space="preserve"> effectué</w:t>
      </w:r>
      <w:r w:rsidR="001C0217">
        <w:rPr>
          <w:rFonts w:ascii="Arial" w:hAnsi="Arial" w:cs="Arial"/>
          <w:sz w:val="24"/>
          <w:szCs w:val="24"/>
          <w:lang w:val="fr-FR"/>
        </w:rPr>
        <w:t>e</w:t>
      </w:r>
      <w:r w:rsidR="001C0217" w:rsidRPr="00FA7062">
        <w:rPr>
          <w:rFonts w:ascii="Arial" w:hAnsi="Arial" w:cs="Arial"/>
          <w:sz w:val="24"/>
          <w:szCs w:val="24"/>
          <w:lang w:val="fr-FR"/>
        </w:rPr>
        <w:t xml:space="preserve">s dans le but de contrer la demande d’Amber de modifier le Conseil de Surveillance. Cette proposition </w:t>
      </w:r>
      <w:r w:rsidR="00477168">
        <w:rPr>
          <w:rFonts w:ascii="Arial" w:hAnsi="Arial" w:cs="Arial"/>
          <w:sz w:val="24"/>
          <w:szCs w:val="24"/>
          <w:lang w:val="fr-FR"/>
        </w:rPr>
        <w:t>fut finalement rejetée lors de l’</w:t>
      </w:r>
      <w:r w:rsidR="001C0217" w:rsidRPr="00FA7062">
        <w:rPr>
          <w:rFonts w:ascii="Arial" w:hAnsi="Arial" w:cs="Arial"/>
          <w:sz w:val="24"/>
          <w:szCs w:val="24"/>
          <w:lang w:val="fr-FR"/>
        </w:rPr>
        <w:t>Assemblée Générale le 5 mai 2020</w:t>
      </w:r>
      <w:r w:rsidR="00B23410">
        <w:rPr>
          <w:rFonts w:ascii="Arial" w:hAnsi="Arial" w:cs="Arial"/>
          <w:sz w:val="24"/>
          <w:szCs w:val="24"/>
          <w:lang w:val="fr-FR"/>
        </w:rPr>
        <w:t xml:space="preserve"> du fait d</w:t>
      </w:r>
      <w:r w:rsidR="003E5BC5">
        <w:rPr>
          <w:rFonts w:ascii="Arial" w:hAnsi="Arial" w:cs="Arial"/>
          <w:sz w:val="24"/>
          <w:szCs w:val="24"/>
          <w:lang w:val="fr-FR"/>
        </w:rPr>
        <w:t>u</w:t>
      </w:r>
      <w:r w:rsidR="00B23410">
        <w:rPr>
          <w:rFonts w:ascii="Arial" w:hAnsi="Arial" w:cs="Arial"/>
          <w:sz w:val="24"/>
          <w:szCs w:val="24"/>
          <w:lang w:val="fr-FR"/>
        </w:rPr>
        <w:t xml:space="preserve"> blocage de Vivendi et du fonds qatari</w:t>
      </w:r>
      <w:r w:rsidR="001C0217" w:rsidRPr="00FA7062">
        <w:rPr>
          <w:rFonts w:ascii="Arial" w:hAnsi="Arial" w:cs="Arial"/>
          <w:sz w:val="24"/>
          <w:szCs w:val="24"/>
          <w:lang w:val="fr-FR"/>
        </w:rPr>
        <w:t>.</w:t>
      </w:r>
    </w:p>
    <w:p w14:paraId="4DCE2762" w14:textId="5FB91DB7" w:rsidR="001C0217" w:rsidRPr="00032999" w:rsidRDefault="003029A9" w:rsidP="00F96C0E">
      <w:pPr>
        <w:ind w:left="708"/>
        <w:jc w:val="both"/>
        <w:rPr>
          <w:rFonts w:ascii="Arial" w:hAnsi="Arial" w:cs="Arial"/>
          <w:sz w:val="24"/>
          <w:szCs w:val="24"/>
          <w:lang w:val="fr-FR"/>
        </w:rPr>
      </w:pPr>
      <w:r>
        <w:rPr>
          <w:rFonts w:ascii="Arial" w:hAnsi="Arial" w:cs="Arial"/>
          <w:sz w:val="24"/>
          <w:szCs w:val="24"/>
          <w:lang w:val="fr-FR"/>
        </w:rPr>
        <w:lastRenderedPageBreak/>
        <w:t xml:space="preserve">Au fur et à mesure du temps, les </w:t>
      </w:r>
      <w:r w:rsidR="00A5563E">
        <w:rPr>
          <w:rFonts w:ascii="Arial" w:hAnsi="Arial" w:cs="Arial"/>
          <w:sz w:val="24"/>
          <w:szCs w:val="24"/>
          <w:lang w:val="fr-FR"/>
        </w:rPr>
        <w:t>positions apparemment si tranchées vont sensiblement évoluer</w:t>
      </w:r>
      <w:r w:rsidR="0090711E">
        <w:rPr>
          <w:rFonts w:ascii="Arial" w:hAnsi="Arial" w:cs="Arial"/>
          <w:sz w:val="24"/>
          <w:szCs w:val="24"/>
          <w:lang w:val="fr-FR"/>
        </w:rPr>
        <w:t xml:space="preserve"> et cette évolution </w:t>
      </w:r>
      <w:r w:rsidR="00F96C0E">
        <w:rPr>
          <w:rFonts w:ascii="Arial" w:hAnsi="Arial" w:cs="Arial"/>
          <w:sz w:val="24"/>
          <w:szCs w:val="24"/>
          <w:lang w:val="fr-FR"/>
        </w:rPr>
        <w:t>met de plus en plus à mal la position d’Arnau</w:t>
      </w:r>
      <w:r w:rsidR="00AD76A3">
        <w:rPr>
          <w:rFonts w:ascii="Arial" w:hAnsi="Arial" w:cs="Arial"/>
          <w:sz w:val="24"/>
          <w:szCs w:val="24"/>
          <w:lang w:val="fr-FR"/>
        </w:rPr>
        <w:t>d</w:t>
      </w:r>
      <w:r w:rsidR="00F96C0E">
        <w:rPr>
          <w:rFonts w:ascii="Arial" w:hAnsi="Arial" w:cs="Arial"/>
          <w:sz w:val="24"/>
          <w:szCs w:val="24"/>
          <w:lang w:val="fr-FR"/>
        </w:rPr>
        <w:t xml:space="preserve"> Lagardère.</w:t>
      </w:r>
    </w:p>
    <w:p w14:paraId="280148BA" w14:textId="1E487D73" w:rsidR="0060455D" w:rsidRDefault="00F96C0E" w:rsidP="001C0217">
      <w:pPr>
        <w:ind w:left="708"/>
        <w:jc w:val="both"/>
        <w:rPr>
          <w:rFonts w:ascii="Arial" w:hAnsi="Arial" w:cs="Arial"/>
          <w:sz w:val="24"/>
          <w:szCs w:val="24"/>
          <w:lang w:val="fr-FR"/>
        </w:rPr>
      </w:pPr>
      <w:r>
        <w:rPr>
          <w:rFonts w:ascii="Arial" w:hAnsi="Arial" w:cs="Arial"/>
          <w:sz w:val="24"/>
          <w:szCs w:val="24"/>
          <w:lang w:val="fr-FR"/>
        </w:rPr>
        <w:t>Ainsi, a</w:t>
      </w:r>
      <w:r w:rsidR="0060455D">
        <w:rPr>
          <w:rFonts w:ascii="Arial" w:hAnsi="Arial" w:cs="Arial"/>
          <w:sz w:val="24"/>
          <w:szCs w:val="24"/>
          <w:lang w:val="fr-FR"/>
        </w:rPr>
        <w:t>lors que Vivendi soutenait initialement ces différentes modifications (validées en AG en mai 2020), l</w:t>
      </w:r>
      <w:r w:rsidR="0060455D" w:rsidRPr="00032999">
        <w:rPr>
          <w:rFonts w:ascii="Arial" w:hAnsi="Arial" w:cs="Arial"/>
          <w:sz w:val="24"/>
          <w:szCs w:val="24"/>
          <w:lang w:val="fr-FR"/>
        </w:rPr>
        <w:t xml:space="preserve">es différents changements </w:t>
      </w:r>
      <w:r w:rsidR="0060455D">
        <w:rPr>
          <w:rFonts w:ascii="Arial" w:hAnsi="Arial" w:cs="Arial"/>
          <w:sz w:val="24"/>
          <w:szCs w:val="24"/>
          <w:lang w:val="fr-FR"/>
        </w:rPr>
        <w:t xml:space="preserve">seront, par la suite, </w:t>
      </w:r>
      <w:r w:rsidR="0060455D" w:rsidRPr="00032999">
        <w:rPr>
          <w:rFonts w:ascii="Arial" w:hAnsi="Arial" w:cs="Arial"/>
          <w:sz w:val="24"/>
          <w:szCs w:val="24"/>
          <w:lang w:val="fr-FR"/>
        </w:rPr>
        <w:t xml:space="preserve">critiqués par </w:t>
      </w:r>
      <w:r w:rsidR="0060455D">
        <w:rPr>
          <w:rFonts w:ascii="Arial" w:hAnsi="Arial" w:cs="Arial"/>
          <w:sz w:val="24"/>
          <w:szCs w:val="24"/>
          <w:lang w:val="fr-FR"/>
        </w:rPr>
        <w:t xml:space="preserve">tant </w:t>
      </w:r>
      <w:r w:rsidR="0060455D" w:rsidRPr="00032999">
        <w:rPr>
          <w:rFonts w:ascii="Arial" w:hAnsi="Arial" w:cs="Arial"/>
          <w:sz w:val="24"/>
          <w:szCs w:val="24"/>
          <w:lang w:val="fr-FR"/>
        </w:rPr>
        <w:t xml:space="preserve">Amber Capital </w:t>
      </w:r>
      <w:r w:rsidR="0060455D">
        <w:rPr>
          <w:rFonts w:ascii="Arial" w:hAnsi="Arial" w:cs="Arial"/>
          <w:sz w:val="24"/>
          <w:szCs w:val="24"/>
          <w:lang w:val="fr-FR"/>
        </w:rPr>
        <w:t xml:space="preserve">que </w:t>
      </w:r>
      <w:r w:rsidR="0060455D" w:rsidRPr="00032999">
        <w:rPr>
          <w:rFonts w:ascii="Arial" w:hAnsi="Arial" w:cs="Arial"/>
          <w:sz w:val="24"/>
          <w:szCs w:val="24"/>
          <w:lang w:val="fr-FR"/>
        </w:rPr>
        <w:t>Vivendi : le 21 août 2020,</w:t>
      </w:r>
      <w:r w:rsidR="00096E3D">
        <w:rPr>
          <w:rFonts w:ascii="Arial" w:hAnsi="Arial" w:cs="Arial"/>
          <w:sz w:val="24"/>
          <w:szCs w:val="24"/>
          <w:lang w:val="fr-FR"/>
        </w:rPr>
        <w:t xml:space="preserve"> à la suite d’un pacte d’actionnaires ratifié quelques jours auparavant,</w:t>
      </w:r>
      <w:r w:rsidR="0060455D" w:rsidRPr="00032999">
        <w:rPr>
          <w:rFonts w:ascii="Arial" w:hAnsi="Arial" w:cs="Arial"/>
          <w:sz w:val="24"/>
          <w:szCs w:val="24"/>
          <w:lang w:val="fr-FR"/>
        </w:rPr>
        <w:t xml:space="preserve"> ce</w:t>
      </w:r>
      <w:r w:rsidR="0060455D">
        <w:rPr>
          <w:rFonts w:ascii="Arial" w:hAnsi="Arial" w:cs="Arial"/>
          <w:sz w:val="24"/>
          <w:szCs w:val="24"/>
          <w:lang w:val="fr-FR"/>
        </w:rPr>
        <w:t>ux-ci</w:t>
      </w:r>
      <w:r w:rsidR="0060455D" w:rsidRPr="00032999">
        <w:rPr>
          <w:rFonts w:ascii="Arial" w:hAnsi="Arial" w:cs="Arial"/>
          <w:sz w:val="24"/>
          <w:szCs w:val="24"/>
          <w:lang w:val="fr-FR"/>
        </w:rPr>
        <w:t xml:space="preserve"> demande</w:t>
      </w:r>
      <w:r w:rsidR="0060455D">
        <w:rPr>
          <w:rFonts w:ascii="Arial" w:hAnsi="Arial" w:cs="Arial"/>
          <w:sz w:val="24"/>
          <w:szCs w:val="24"/>
          <w:lang w:val="fr-FR"/>
        </w:rPr>
        <w:t>nt</w:t>
      </w:r>
      <w:r w:rsidR="0060455D" w:rsidRPr="00032999">
        <w:rPr>
          <w:rFonts w:ascii="Arial" w:hAnsi="Arial" w:cs="Arial"/>
          <w:sz w:val="24"/>
          <w:szCs w:val="24"/>
          <w:lang w:val="fr-FR"/>
        </w:rPr>
        <w:t xml:space="preserve"> la démission de Patrick </w:t>
      </w:r>
      <w:proofErr w:type="spellStart"/>
      <w:r w:rsidR="0060455D" w:rsidRPr="00032999">
        <w:rPr>
          <w:rFonts w:ascii="Arial" w:hAnsi="Arial" w:cs="Arial"/>
          <w:sz w:val="24"/>
          <w:szCs w:val="24"/>
          <w:lang w:val="fr-FR"/>
        </w:rPr>
        <w:t>Valroff</w:t>
      </w:r>
      <w:proofErr w:type="spellEnd"/>
      <w:r w:rsidR="0060455D" w:rsidRPr="00032999">
        <w:rPr>
          <w:rFonts w:ascii="Arial" w:hAnsi="Arial" w:cs="Arial"/>
          <w:sz w:val="24"/>
          <w:szCs w:val="24"/>
          <w:lang w:val="fr-FR"/>
        </w:rPr>
        <w:t xml:space="preserve">, de Guillaume </w:t>
      </w:r>
      <w:proofErr w:type="spellStart"/>
      <w:r w:rsidR="0060455D" w:rsidRPr="00032999">
        <w:rPr>
          <w:rFonts w:ascii="Arial" w:hAnsi="Arial" w:cs="Arial"/>
          <w:sz w:val="24"/>
          <w:szCs w:val="24"/>
          <w:lang w:val="fr-FR"/>
        </w:rPr>
        <w:t>Pepy</w:t>
      </w:r>
      <w:proofErr w:type="spellEnd"/>
      <w:r w:rsidR="0060455D" w:rsidRPr="00032999">
        <w:rPr>
          <w:rFonts w:ascii="Arial" w:hAnsi="Arial" w:cs="Arial"/>
          <w:sz w:val="24"/>
          <w:szCs w:val="24"/>
          <w:lang w:val="fr-FR"/>
        </w:rPr>
        <w:t xml:space="preserve"> et de Gilles Petit et l’organisation d’une nouvelle Assemblée Générale (déboutée par le Tribunal de Commerce de Paris</w:t>
      </w:r>
      <w:r w:rsidR="0060455D">
        <w:rPr>
          <w:rFonts w:ascii="Arial" w:hAnsi="Arial" w:cs="Arial"/>
          <w:sz w:val="24"/>
          <w:szCs w:val="24"/>
          <w:lang w:val="fr-FR"/>
        </w:rPr>
        <w:t xml:space="preserve">, </w:t>
      </w:r>
      <w:r w:rsidR="0060455D" w:rsidRPr="00032999">
        <w:rPr>
          <w:rFonts w:ascii="Arial" w:hAnsi="Arial" w:cs="Arial"/>
          <w:sz w:val="24"/>
          <w:szCs w:val="24"/>
          <w:lang w:val="fr-FR"/>
        </w:rPr>
        <w:t xml:space="preserve">14 octobre 2020). L’idée aurait été de les remplacer par trois personnes directement issues du sérail d’Amber : J. </w:t>
      </w:r>
      <w:proofErr w:type="spellStart"/>
      <w:r w:rsidR="0060455D" w:rsidRPr="00032999">
        <w:rPr>
          <w:rFonts w:ascii="Arial" w:hAnsi="Arial" w:cs="Arial"/>
          <w:sz w:val="24"/>
          <w:szCs w:val="24"/>
          <w:lang w:val="fr-FR"/>
        </w:rPr>
        <w:t>Oughourlian</w:t>
      </w:r>
      <w:proofErr w:type="spellEnd"/>
      <w:r w:rsidR="0060455D" w:rsidRPr="00032999">
        <w:rPr>
          <w:rFonts w:ascii="Arial" w:hAnsi="Arial" w:cs="Arial"/>
          <w:sz w:val="24"/>
          <w:szCs w:val="24"/>
          <w:lang w:val="fr-FR"/>
        </w:rPr>
        <w:t xml:space="preserve"> (fondateur du fonds), O. </w:t>
      </w:r>
      <w:proofErr w:type="spellStart"/>
      <w:r w:rsidR="0060455D" w:rsidRPr="00032999">
        <w:rPr>
          <w:rFonts w:ascii="Arial" w:hAnsi="Arial" w:cs="Arial"/>
          <w:sz w:val="24"/>
          <w:szCs w:val="24"/>
          <w:lang w:val="fr-FR"/>
        </w:rPr>
        <w:t>Fortesa</w:t>
      </w:r>
      <w:proofErr w:type="spellEnd"/>
      <w:r w:rsidR="0060455D" w:rsidRPr="00032999">
        <w:rPr>
          <w:rFonts w:ascii="Arial" w:hAnsi="Arial" w:cs="Arial"/>
          <w:sz w:val="24"/>
          <w:szCs w:val="24"/>
          <w:lang w:val="fr-FR"/>
        </w:rPr>
        <w:t xml:space="preserve"> (gérant de portefeuille</w:t>
      </w:r>
      <w:r w:rsidR="0060455D">
        <w:rPr>
          <w:rFonts w:ascii="Arial" w:hAnsi="Arial" w:cs="Arial"/>
          <w:sz w:val="24"/>
          <w:szCs w:val="24"/>
          <w:lang w:val="fr-FR"/>
        </w:rPr>
        <w:t>s</w:t>
      </w:r>
      <w:r w:rsidR="0060455D" w:rsidRPr="00032999">
        <w:rPr>
          <w:rFonts w:ascii="Arial" w:hAnsi="Arial" w:cs="Arial"/>
          <w:sz w:val="24"/>
          <w:szCs w:val="24"/>
          <w:lang w:val="fr-FR"/>
        </w:rPr>
        <w:t xml:space="preserve"> du fonds), V. </w:t>
      </w:r>
      <w:proofErr w:type="spellStart"/>
      <w:r w:rsidR="0060455D" w:rsidRPr="00032999">
        <w:rPr>
          <w:rFonts w:ascii="Arial" w:hAnsi="Arial" w:cs="Arial"/>
          <w:sz w:val="24"/>
          <w:szCs w:val="24"/>
          <w:lang w:val="fr-FR"/>
        </w:rPr>
        <w:t>Ohannessian</w:t>
      </w:r>
      <w:proofErr w:type="spellEnd"/>
      <w:r w:rsidR="0060455D" w:rsidRPr="00032999">
        <w:rPr>
          <w:rFonts w:ascii="Arial" w:hAnsi="Arial" w:cs="Arial"/>
          <w:sz w:val="24"/>
          <w:szCs w:val="24"/>
          <w:lang w:val="fr-FR"/>
        </w:rPr>
        <w:t xml:space="preserve">. Cette proposition </w:t>
      </w:r>
      <w:r w:rsidR="0060455D">
        <w:rPr>
          <w:rFonts w:ascii="Arial" w:hAnsi="Arial" w:cs="Arial"/>
          <w:sz w:val="24"/>
          <w:szCs w:val="24"/>
          <w:lang w:val="fr-FR"/>
        </w:rPr>
        <w:t xml:space="preserve">a </w:t>
      </w:r>
      <w:r w:rsidR="0060455D" w:rsidRPr="00032999">
        <w:rPr>
          <w:rFonts w:ascii="Arial" w:hAnsi="Arial" w:cs="Arial"/>
          <w:sz w:val="24"/>
          <w:szCs w:val="24"/>
          <w:lang w:val="fr-FR"/>
        </w:rPr>
        <w:t xml:space="preserve">également </w:t>
      </w:r>
      <w:r w:rsidR="0060455D">
        <w:rPr>
          <w:rFonts w:ascii="Arial" w:hAnsi="Arial" w:cs="Arial"/>
          <w:sz w:val="24"/>
          <w:szCs w:val="24"/>
          <w:lang w:val="fr-FR"/>
        </w:rPr>
        <w:t xml:space="preserve">été </w:t>
      </w:r>
      <w:r w:rsidR="0060455D" w:rsidRPr="00032999">
        <w:rPr>
          <w:rFonts w:ascii="Arial" w:hAnsi="Arial" w:cs="Arial"/>
          <w:sz w:val="24"/>
          <w:szCs w:val="24"/>
          <w:lang w:val="fr-FR"/>
        </w:rPr>
        <w:t xml:space="preserve">soutenue par le fonds qatari, ce qui témoigne d’une </w:t>
      </w:r>
      <w:r w:rsidR="0060455D">
        <w:rPr>
          <w:rFonts w:ascii="Arial" w:hAnsi="Arial" w:cs="Arial"/>
          <w:sz w:val="24"/>
          <w:szCs w:val="24"/>
          <w:lang w:val="fr-FR"/>
        </w:rPr>
        <w:t xml:space="preserve">probable </w:t>
      </w:r>
      <w:r w:rsidR="0060455D" w:rsidRPr="00032999">
        <w:rPr>
          <w:rFonts w:ascii="Arial" w:hAnsi="Arial" w:cs="Arial"/>
          <w:sz w:val="24"/>
          <w:szCs w:val="24"/>
          <w:lang w:val="fr-FR"/>
        </w:rPr>
        <w:t>déliquescence de la confiance que le fonds pouvait accorder à la direction du groupe.</w:t>
      </w:r>
    </w:p>
    <w:p w14:paraId="4240C151" w14:textId="2CD885E3" w:rsidR="00031C4E" w:rsidRDefault="00760347" w:rsidP="00B23410">
      <w:pPr>
        <w:ind w:left="708"/>
        <w:jc w:val="both"/>
        <w:rPr>
          <w:rFonts w:ascii="Arial" w:hAnsi="Arial" w:cs="Arial"/>
          <w:sz w:val="24"/>
          <w:szCs w:val="24"/>
          <w:lang w:val="fr-FR"/>
        </w:rPr>
      </w:pPr>
      <w:r>
        <w:rPr>
          <w:rFonts w:ascii="Arial" w:hAnsi="Arial" w:cs="Arial"/>
          <w:sz w:val="24"/>
          <w:szCs w:val="24"/>
          <w:lang w:val="fr-FR"/>
        </w:rPr>
        <w:t xml:space="preserve">Dans la même optique, </w:t>
      </w:r>
      <w:r w:rsidR="008B0511">
        <w:rPr>
          <w:rFonts w:ascii="Arial" w:hAnsi="Arial" w:cs="Arial"/>
          <w:sz w:val="24"/>
          <w:szCs w:val="24"/>
          <w:lang w:val="fr-FR"/>
        </w:rPr>
        <w:t xml:space="preserve">si </w:t>
      </w:r>
      <w:r>
        <w:rPr>
          <w:rFonts w:ascii="Arial" w:hAnsi="Arial" w:cs="Arial"/>
          <w:sz w:val="24"/>
          <w:szCs w:val="24"/>
          <w:lang w:val="fr-FR"/>
        </w:rPr>
        <w:t xml:space="preserve">l’intervention de Bernard Arnault </w:t>
      </w:r>
      <w:r w:rsidR="00D65EA7">
        <w:rPr>
          <w:rFonts w:ascii="Arial" w:hAnsi="Arial" w:cs="Arial"/>
          <w:sz w:val="24"/>
          <w:szCs w:val="24"/>
          <w:lang w:val="fr-FR"/>
        </w:rPr>
        <w:t>avait pour objectif la protection d’Arnault Lagardère</w:t>
      </w:r>
      <w:r w:rsidR="00621CF1">
        <w:rPr>
          <w:rFonts w:ascii="Arial" w:hAnsi="Arial" w:cs="Arial"/>
          <w:sz w:val="24"/>
          <w:szCs w:val="24"/>
          <w:lang w:val="fr-FR"/>
        </w:rPr>
        <w:t xml:space="preserve"> </w:t>
      </w:r>
      <w:r w:rsidR="006033B6">
        <w:rPr>
          <w:rFonts w:ascii="Arial" w:hAnsi="Arial" w:cs="Arial"/>
          <w:sz w:val="24"/>
          <w:szCs w:val="24"/>
          <w:lang w:val="fr-FR"/>
        </w:rPr>
        <w:t>à la suite du</w:t>
      </w:r>
      <w:r w:rsidR="00621CF1">
        <w:rPr>
          <w:rFonts w:ascii="Arial" w:hAnsi="Arial" w:cs="Arial"/>
          <w:sz w:val="24"/>
          <w:szCs w:val="24"/>
          <w:lang w:val="fr-FR"/>
        </w:rPr>
        <w:t xml:space="preserve"> revirement de Vivendi</w:t>
      </w:r>
      <w:r w:rsidR="00D65EA7">
        <w:rPr>
          <w:rFonts w:ascii="Arial" w:hAnsi="Arial" w:cs="Arial"/>
          <w:sz w:val="24"/>
          <w:szCs w:val="24"/>
          <w:lang w:val="fr-FR"/>
        </w:rPr>
        <w:t xml:space="preserve">, </w:t>
      </w:r>
      <w:r w:rsidR="001575F7">
        <w:rPr>
          <w:rFonts w:ascii="Arial" w:hAnsi="Arial" w:cs="Arial"/>
          <w:sz w:val="24"/>
          <w:szCs w:val="24"/>
          <w:lang w:val="fr-FR"/>
        </w:rPr>
        <w:t xml:space="preserve">en septembre 2020, </w:t>
      </w:r>
      <w:r w:rsidR="008D1E85">
        <w:rPr>
          <w:rFonts w:ascii="Arial" w:hAnsi="Arial" w:cs="Arial"/>
          <w:sz w:val="24"/>
          <w:szCs w:val="24"/>
          <w:lang w:val="fr-FR"/>
        </w:rPr>
        <w:t>des sources concordantes</w:t>
      </w:r>
      <w:r w:rsidR="001A7D32">
        <w:rPr>
          <w:rStyle w:val="Appelnotedebasdep"/>
          <w:rFonts w:ascii="Arial" w:hAnsi="Arial" w:cs="Arial"/>
          <w:sz w:val="24"/>
          <w:szCs w:val="24"/>
          <w:lang w:val="fr-FR"/>
        </w:rPr>
        <w:footnoteReference w:id="1"/>
      </w:r>
      <w:r w:rsidR="008D1E85">
        <w:rPr>
          <w:rFonts w:ascii="Arial" w:hAnsi="Arial" w:cs="Arial"/>
          <w:sz w:val="24"/>
          <w:szCs w:val="24"/>
          <w:lang w:val="fr-FR"/>
        </w:rPr>
        <w:t xml:space="preserve"> indiquent que </w:t>
      </w:r>
      <w:r w:rsidR="00D65EA7">
        <w:rPr>
          <w:rFonts w:ascii="Arial" w:hAnsi="Arial" w:cs="Arial"/>
          <w:sz w:val="24"/>
          <w:szCs w:val="24"/>
          <w:lang w:val="fr-FR"/>
        </w:rPr>
        <w:t>le pacte d’actionnaires</w:t>
      </w:r>
      <w:r w:rsidR="001575F7">
        <w:rPr>
          <w:rFonts w:ascii="Arial" w:hAnsi="Arial" w:cs="Arial"/>
          <w:sz w:val="24"/>
          <w:szCs w:val="24"/>
          <w:lang w:val="fr-FR"/>
        </w:rPr>
        <w:t xml:space="preserve"> conclu </w:t>
      </w:r>
      <w:r w:rsidR="00B16726" w:rsidRPr="00032999">
        <w:rPr>
          <w:rFonts w:ascii="Arial" w:hAnsi="Arial" w:cs="Arial"/>
          <w:sz w:val="24"/>
          <w:szCs w:val="24"/>
          <w:lang w:val="fr-FR"/>
        </w:rPr>
        <w:t>serait conditionné à l’abandon du statut de Commandite par Actions.</w:t>
      </w:r>
    </w:p>
    <w:p w14:paraId="355D5AE8" w14:textId="7448722C" w:rsidR="00B16726" w:rsidRDefault="00031C4E" w:rsidP="00621769">
      <w:pPr>
        <w:ind w:left="708"/>
        <w:jc w:val="both"/>
        <w:rPr>
          <w:rFonts w:ascii="Arial" w:hAnsi="Arial" w:cs="Arial"/>
          <w:sz w:val="24"/>
          <w:szCs w:val="24"/>
          <w:lang w:val="fr-FR"/>
        </w:rPr>
      </w:pPr>
      <w:r>
        <w:rPr>
          <w:rFonts w:ascii="Arial" w:hAnsi="Arial" w:cs="Arial"/>
          <w:sz w:val="24"/>
          <w:szCs w:val="24"/>
          <w:lang w:val="fr-FR"/>
        </w:rPr>
        <w:t>A</w:t>
      </w:r>
      <w:r w:rsidRPr="00031C4E">
        <w:rPr>
          <w:rFonts w:ascii="Arial" w:hAnsi="Arial" w:cs="Arial"/>
          <w:sz w:val="24"/>
          <w:szCs w:val="24"/>
          <w:lang w:val="fr-FR"/>
        </w:rPr>
        <w:t xml:space="preserve">u-delà des différentes opérations sur le capital de Lagardère, se pose la question de la consolidation en amont du caractère familial de la structure capitalistique du groupe. En effet, Arnaud Lagardère – via sa holding LCM – ne possédait qu’un peu plus de 7% du capital de l’entreprise, ce qui serait interpellant dans le cas d’une </w:t>
      </w:r>
      <w:proofErr w:type="gramStart"/>
      <w:r w:rsidRPr="00031C4E">
        <w:rPr>
          <w:rFonts w:ascii="Arial" w:hAnsi="Arial" w:cs="Arial"/>
          <w:sz w:val="24"/>
          <w:szCs w:val="24"/>
          <w:lang w:val="fr-FR"/>
        </w:rPr>
        <w:t>S.A..</w:t>
      </w:r>
      <w:proofErr w:type="gramEnd"/>
      <w:r w:rsidRPr="00031C4E">
        <w:rPr>
          <w:rFonts w:ascii="Arial" w:hAnsi="Arial" w:cs="Arial"/>
          <w:sz w:val="24"/>
          <w:szCs w:val="24"/>
          <w:lang w:val="fr-FR"/>
        </w:rPr>
        <w:t xml:space="preserve"> Jusqu’à l’arrivée du fonds qatari et d’Amber, on ne retrouvait qu’une collection de petits actionnaires pas nécessairement attachés au maintien du style de gestion de l’entreprise mais évidemment peu influents. La formule de Commandite par Actions constituait dans l’esprit d’Arnaud Lagardère un garde-fou contre des velléités d’immixtion dans son style de gestion. En complément, Arnaud Lagardère pensait – peut-être à juste titre dans un premier temps – que son héritage paternel lui permettrait de contrer toute forme d’activisme institutionnel.</w:t>
      </w:r>
    </w:p>
    <w:p w14:paraId="1A510509" w14:textId="6AB7F1F7" w:rsidR="00524D1E" w:rsidRDefault="00524D1E" w:rsidP="00621769">
      <w:pPr>
        <w:ind w:left="708"/>
        <w:jc w:val="both"/>
        <w:rPr>
          <w:rFonts w:ascii="Arial" w:hAnsi="Arial" w:cs="Arial"/>
          <w:sz w:val="24"/>
          <w:szCs w:val="24"/>
          <w:lang w:val="fr-FR"/>
        </w:rPr>
      </w:pPr>
      <w:r>
        <w:rPr>
          <w:rFonts w:ascii="Arial" w:hAnsi="Arial" w:cs="Arial"/>
          <w:sz w:val="24"/>
          <w:szCs w:val="24"/>
          <w:lang w:val="fr-FR"/>
        </w:rPr>
        <w:t>Au-delà des</w:t>
      </w:r>
      <w:r w:rsidR="001C6967" w:rsidRPr="001C6967">
        <w:t xml:space="preserve"> </w:t>
      </w:r>
      <w:r w:rsidR="001C6967" w:rsidRPr="001C6967">
        <w:rPr>
          <w:rFonts w:ascii="Arial" w:hAnsi="Arial" w:cs="Arial"/>
          <w:sz w:val="24"/>
          <w:szCs w:val="24"/>
          <w:lang w:val="fr-FR"/>
        </w:rPr>
        <w:t>raisons officielles et officieuses qui ont conduit à la ruée vers le capital du groupe Lagardère</w:t>
      </w:r>
      <w:r w:rsidR="001C6967">
        <w:rPr>
          <w:rFonts w:ascii="Arial" w:hAnsi="Arial" w:cs="Arial"/>
          <w:sz w:val="24"/>
          <w:szCs w:val="24"/>
          <w:lang w:val="fr-FR"/>
        </w:rPr>
        <w:t>, i</w:t>
      </w:r>
      <w:r w:rsidRPr="00032999">
        <w:rPr>
          <w:rFonts w:ascii="Arial" w:hAnsi="Arial" w:cs="Arial"/>
          <w:sz w:val="24"/>
          <w:szCs w:val="24"/>
          <w:lang w:val="fr-FR"/>
        </w:rPr>
        <w:t xml:space="preserve">l est intéressant de constater que chacun des nouveaux actionnaires de l’entreprise (Arnault, Vivendi et </w:t>
      </w:r>
      <w:proofErr w:type="spellStart"/>
      <w:r w:rsidRPr="00032999">
        <w:rPr>
          <w:rFonts w:ascii="Arial" w:hAnsi="Arial" w:cs="Arial"/>
          <w:sz w:val="24"/>
          <w:szCs w:val="24"/>
          <w:lang w:val="fr-FR"/>
        </w:rPr>
        <w:t>Fimalac</w:t>
      </w:r>
      <w:proofErr w:type="spellEnd"/>
      <w:r w:rsidRPr="00032999">
        <w:rPr>
          <w:rFonts w:ascii="Arial" w:hAnsi="Arial" w:cs="Arial"/>
          <w:sz w:val="24"/>
          <w:szCs w:val="24"/>
          <w:lang w:val="fr-FR"/>
        </w:rPr>
        <w:t xml:space="preserve">) pourrait être très intéressé par des morceaux bien spécifiques des activités de l’entreprise. Dans notre optique, la question qui se pose porterait plus sur l’arabesque latérale proposée à Arnaud Lagardère pour sortir dignement du processus décisionnel de l’entreprise que sur le démantèlement de l’entreprise qui semble relativement inéluctable. Cette solution pourrait rencontrer les attentes des différents actionnaires : celles de Vivendi en prenant le contrôle de tout ou partie du pôle Lagardère </w:t>
      </w:r>
      <w:proofErr w:type="spellStart"/>
      <w:r w:rsidRPr="00032999">
        <w:rPr>
          <w:rFonts w:ascii="Arial" w:hAnsi="Arial" w:cs="Arial"/>
          <w:sz w:val="24"/>
          <w:szCs w:val="24"/>
          <w:lang w:val="fr-FR"/>
        </w:rPr>
        <w:t>Publishing</w:t>
      </w:r>
      <w:proofErr w:type="spellEnd"/>
      <w:r w:rsidRPr="00032999">
        <w:rPr>
          <w:rFonts w:ascii="Arial" w:hAnsi="Arial" w:cs="Arial"/>
          <w:sz w:val="24"/>
          <w:szCs w:val="24"/>
          <w:lang w:val="fr-FR"/>
        </w:rPr>
        <w:t xml:space="preserve"> (même si démenties le lendemain, le 4 novembre </w:t>
      </w:r>
      <w:r w:rsidRPr="00032999">
        <w:rPr>
          <w:rFonts w:ascii="Arial" w:hAnsi="Arial" w:cs="Arial"/>
          <w:sz w:val="24"/>
          <w:szCs w:val="24"/>
          <w:lang w:val="fr-FR"/>
        </w:rPr>
        <w:lastRenderedPageBreak/>
        <w:t>2020 sont annoncées des négociations pour une cession partielle</w:t>
      </w:r>
      <w:r>
        <w:rPr>
          <w:rFonts w:ascii="Arial" w:hAnsi="Arial" w:cs="Arial"/>
          <w:sz w:val="24"/>
          <w:szCs w:val="24"/>
          <w:lang w:val="fr-FR"/>
        </w:rPr>
        <w:t>,</w:t>
      </w:r>
      <w:r w:rsidRPr="00032999">
        <w:rPr>
          <w:rFonts w:ascii="Arial" w:hAnsi="Arial" w:cs="Arial"/>
          <w:sz w:val="24"/>
          <w:szCs w:val="24"/>
          <w:lang w:val="fr-FR"/>
        </w:rPr>
        <w:t xml:space="preserve"> par Lagardère</w:t>
      </w:r>
      <w:r>
        <w:rPr>
          <w:rFonts w:ascii="Arial" w:hAnsi="Arial" w:cs="Arial"/>
          <w:sz w:val="24"/>
          <w:szCs w:val="24"/>
          <w:lang w:val="fr-FR"/>
        </w:rPr>
        <w:t>,</w:t>
      </w:r>
      <w:r w:rsidRPr="00032999">
        <w:rPr>
          <w:rFonts w:ascii="Arial" w:hAnsi="Arial" w:cs="Arial"/>
          <w:sz w:val="24"/>
          <w:szCs w:val="24"/>
          <w:lang w:val="fr-FR"/>
        </w:rPr>
        <w:t xml:space="preserve"> d’Hachette à Vivendi), celles de </w:t>
      </w:r>
      <w:proofErr w:type="spellStart"/>
      <w:r w:rsidRPr="00032999">
        <w:rPr>
          <w:rFonts w:ascii="Arial" w:hAnsi="Arial" w:cs="Arial"/>
          <w:sz w:val="24"/>
          <w:szCs w:val="24"/>
          <w:lang w:val="fr-FR"/>
        </w:rPr>
        <w:t>Fimalac</w:t>
      </w:r>
      <w:proofErr w:type="spellEnd"/>
      <w:r w:rsidRPr="00032999">
        <w:rPr>
          <w:rFonts w:ascii="Arial" w:hAnsi="Arial" w:cs="Arial"/>
          <w:sz w:val="24"/>
          <w:szCs w:val="24"/>
          <w:lang w:val="fr-FR"/>
        </w:rPr>
        <w:t xml:space="preserve"> pour les spectacles du vivant, celles d’Arnault pour le </w:t>
      </w:r>
      <w:proofErr w:type="spellStart"/>
      <w:r w:rsidRPr="00032999">
        <w:rPr>
          <w:rFonts w:ascii="Arial" w:hAnsi="Arial" w:cs="Arial"/>
          <w:sz w:val="24"/>
          <w:szCs w:val="24"/>
          <w:lang w:val="fr-FR"/>
        </w:rPr>
        <w:t>retail</w:t>
      </w:r>
      <w:proofErr w:type="spellEnd"/>
      <w:r w:rsidRPr="00032999">
        <w:rPr>
          <w:rFonts w:ascii="Arial" w:hAnsi="Arial" w:cs="Arial"/>
          <w:sz w:val="24"/>
          <w:szCs w:val="24"/>
          <w:lang w:val="fr-FR"/>
        </w:rPr>
        <w:t xml:space="preserve"> services et celles d’Amber et du fonds qatari profitant des dégagements de valeur engendrés par une revente par morceaux.</w:t>
      </w:r>
    </w:p>
    <w:p w14:paraId="612B8533" w14:textId="4548B32A" w:rsidR="00B16726" w:rsidRPr="00B16FBD" w:rsidRDefault="004418B3" w:rsidP="00B16FBD">
      <w:pPr>
        <w:ind w:left="360"/>
        <w:jc w:val="both"/>
        <w:rPr>
          <w:rFonts w:ascii="Arial" w:hAnsi="Arial" w:cs="Arial"/>
          <w:sz w:val="24"/>
          <w:szCs w:val="24"/>
          <w:lang w:val="fr-FR"/>
        </w:rPr>
      </w:pPr>
      <w:r>
        <w:rPr>
          <w:rFonts w:ascii="Arial" w:hAnsi="Arial" w:cs="Arial"/>
          <w:sz w:val="24"/>
          <w:szCs w:val="24"/>
          <w:lang w:val="fr-FR"/>
        </w:rPr>
        <w:tab/>
      </w:r>
    </w:p>
    <w:p w14:paraId="0A2080A1" w14:textId="232799C2" w:rsidR="0011556E" w:rsidRDefault="0011556E" w:rsidP="005C2A31">
      <w:pPr>
        <w:pStyle w:val="Paragraphedeliste"/>
        <w:numPr>
          <w:ilvl w:val="0"/>
          <w:numId w:val="1"/>
        </w:numPr>
        <w:spacing w:line="240" w:lineRule="auto"/>
        <w:jc w:val="both"/>
        <w:rPr>
          <w:rFonts w:ascii="Arial" w:hAnsi="Arial" w:cs="Arial"/>
          <w:sz w:val="28"/>
          <w:szCs w:val="28"/>
          <w:u w:val="single"/>
        </w:rPr>
      </w:pPr>
      <w:r w:rsidRPr="007D32F4">
        <w:rPr>
          <w:rFonts w:ascii="Arial" w:hAnsi="Arial" w:cs="Arial"/>
          <w:sz w:val="28"/>
          <w:szCs w:val="28"/>
          <w:u w:val="single"/>
        </w:rPr>
        <w:t xml:space="preserve">Homogénéité versus différenciation de l’opérationnalisation </w:t>
      </w:r>
      <w:r w:rsidR="00DE4CB9">
        <w:rPr>
          <w:rFonts w:ascii="Arial" w:hAnsi="Arial" w:cs="Arial"/>
          <w:sz w:val="28"/>
          <w:szCs w:val="28"/>
          <w:u w:val="single"/>
        </w:rPr>
        <w:t>de l’activ</w:t>
      </w:r>
      <w:r w:rsidR="002E164C">
        <w:rPr>
          <w:rFonts w:ascii="Arial" w:hAnsi="Arial" w:cs="Arial"/>
          <w:sz w:val="28"/>
          <w:szCs w:val="28"/>
          <w:u w:val="single"/>
        </w:rPr>
        <w:t xml:space="preserve">isme </w:t>
      </w:r>
      <w:r w:rsidRPr="007D32F4">
        <w:rPr>
          <w:rFonts w:ascii="Arial" w:hAnsi="Arial" w:cs="Arial"/>
          <w:sz w:val="28"/>
          <w:szCs w:val="28"/>
          <w:u w:val="single"/>
        </w:rPr>
        <w:t>institutionnel ?</w:t>
      </w:r>
    </w:p>
    <w:p w14:paraId="414272C8" w14:textId="2D3A2B30" w:rsidR="00EA0AE5" w:rsidRDefault="00EA0AE5" w:rsidP="00EA0AE5">
      <w:pPr>
        <w:pStyle w:val="Paragraphedeliste"/>
        <w:spacing w:line="240" w:lineRule="auto"/>
        <w:jc w:val="both"/>
        <w:rPr>
          <w:rFonts w:ascii="Arial" w:hAnsi="Arial" w:cs="Arial"/>
          <w:sz w:val="28"/>
          <w:szCs w:val="28"/>
          <w:u w:val="single"/>
        </w:rPr>
      </w:pPr>
    </w:p>
    <w:p w14:paraId="3046BC65" w14:textId="0AE1E42B" w:rsidR="00E42E8C" w:rsidRDefault="000673B6" w:rsidP="00391990">
      <w:pPr>
        <w:pStyle w:val="Paragraphedeliste"/>
        <w:spacing w:line="240" w:lineRule="auto"/>
        <w:jc w:val="both"/>
        <w:rPr>
          <w:rFonts w:ascii="Arial" w:hAnsi="Arial" w:cs="Arial"/>
          <w:sz w:val="24"/>
          <w:szCs w:val="24"/>
        </w:rPr>
      </w:pPr>
      <w:r>
        <w:rPr>
          <w:rFonts w:ascii="Arial" w:hAnsi="Arial" w:cs="Arial"/>
          <w:sz w:val="24"/>
          <w:szCs w:val="24"/>
        </w:rPr>
        <w:t xml:space="preserve">Alors que les </w:t>
      </w:r>
      <w:r w:rsidR="006A1521">
        <w:rPr>
          <w:rFonts w:ascii="Arial" w:hAnsi="Arial" w:cs="Arial"/>
          <w:sz w:val="24"/>
          <w:szCs w:val="24"/>
        </w:rPr>
        <w:t>formes</w:t>
      </w:r>
      <w:r>
        <w:rPr>
          <w:rFonts w:ascii="Arial" w:hAnsi="Arial" w:cs="Arial"/>
          <w:sz w:val="24"/>
          <w:szCs w:val="24"/>
        </w:rPr>
        <w:t xml:space="preserve"> capitalistiques de deux entreprises</w:t>
      </w:r>
      <w:r w:rsidR="001874EB">
        <w:rPr>
          <w:rFonts w:ascii="Arial" w:hAnsi="Arial" w:cs="Arial"/>
          <w:sz w:val="24"/>
          <w:szCs w:val="24"/>
        </w:rPr>
        <w:t xml:space="preserve"> étudiées</w:t>
      </w:r>
      <w:r w:rsidR="006A1521">
        <w:rPr>
          <w:rFonts w:ascii="Arial" w:hAnsi="Arial" w:cs="Arial"/>
          <w:sz w:val="24"/>
          <w:szCs w:val="24"/>
        </w:rPr>
        <w:t xml:space="preserve"> n’ont que peu d’éléments en commun</w:t>
      </w:r>
      <w:r w:rsidR="00A93645">
        <w:rPr>
          <w:rFonts w:ascii="Arial" w:hAnsi="Arial" w:cs="Arial"/>
          <w:sz w:val="24"/>
          <w:szCs w:val="24"/>
        </w:rPr>
        <w:t xml:space="preserve">, l’activisme opéré par les différents institutionnels </w:t>
      </w:r>
      <w:r w:rsidR="00976087">
        <w:rPr>
          <w:rFonts w:ascii="Arial" w:hAnsi="Arial" w:cs="Arial"/>
          <w:sz w:val="24"/>
          <w:szCs w:val="24"/>
        </w:rPr>
        <w:t xml:space="preserve">démontre </w:t>
      </w:r>
      <w:r w:rsidR="00FB5A43">
        <w:rPr>
          <w:rFonts w:ascii="Arial" w:hAnsi="Arial" w:cs="Arial"/>
          <w:sz w:val="24"/>
          <w:szCs w:val="24"/>
        </w:rPr>
        <w:t xml:space="preserve">toutefois </w:t>
      </w:r>
      <w:r w:rsidR="00976087">
        <w:rPr>
          <w:rFonts w:ascii="Arial" w:hAnsi="Arial" w:cs="Arial"/>
          <w:sz w:val="24"/>
          <w:szCs w:val="24"/>
        </w:rPr>
        <w:t xml:space="preserve">un nombre </w:t>
      </w:r>
      <w:r w:rsidR="00B67287">
        <w:rPr>
          <w:rFonts w:ascii="Arial" w:hAnsi="Arial" w:cs="Arial"/>
          <w:sz w:val="24"/>
          <w:szCs w:val="24"/>
        </w:rPr>
        <w:t xml:space="preserve">élevé </w:t>
      </w:r>
      <w:r w:rsidR="00976087">
        <w:rPr>
          <w:rFonts w:ascii="Arial" w:hAnsi="Arial" w:cs="Arial"/>
          <w:sz w:val="24"/>
          <w:szCs w:val="24"/>
        </w:rPr>
        <w:t>de similitudes.</w:t>
      </w:r>
      <w:r w:rsidR="00BD6E0F">
        <w:rPr>
          <w:rFonts w:ascii="Arial" w:hAnsi="Arial" w:cs="Arial"/>
          <w:sz w:val="24"/>
          <w:szCs w:val="24"/>
        </w:rPr>
        <w:t xml:space="preserve"> La tableau 4 ci-dessous permet de réaliser la synthèse des </w:t>
      </w:r>
      <w:r w:rsidR="00E42E8C">
        <w:rPr>
          <w:rFonts w:ascii="Arial" w:hAnsi="Arial" w:cs="Arial"/>
          <w:sz w:val="24"/>
          <w:szCs w:val="24"/>
        </w:rPr>
        <w:t>point</w:t>
      </w:r>
      <w:r w:rsidR="004E5171">
        <w:rPr>
          <w:rFonts w:ascii="Arial" w:hAnsi="Arial" w:cs="Arial"/>
          <w:sz w:val="24"/>
          <w:szCs w:val="24"/>
        </w:rPr>
        <w:t xml:space="preserve">s </w:t>
      </w:r>
      <w:r w:rsidR="00E42E8C">
        <w:rPr>
          <w:rFonts w:ascii="Arial" w:hAnsi="Arial" w:cs="Arial"/>
          <w:sz w:val="24"/>
          <w:szCs w:val="24"/>
        </w:rPr>
        <w:t xml:space="preserve">de convergence </w:t>
      </w:r>
      <w:r w:rsidR="004E5171">
        <w:rPr>
          <w:rFonts w:ascii="Arial" w:hAnsi="Arial" w:cs="Arial"/>
          <w:sz w:val="24"/>
          <w:szCs w:val="24"/>
        </w:rPr>
        <w:t xml:space="preserve">et </w:t>
      </w:r>
      <w:r w:rsidR="006E4FF9">
        <w:rPr>
          <w:rFonts w:ascii="Arial" w:hAnsi="Arial" w:cs="Arial"/>
          <w:sz w:val="24"/>
          <w:szCs w:val="24"/>
        </w:rPr>
        <w:t xml:space="preserve">des </w:t>
      </w:r>
      <w:r w:rsidR="004E5171">
        <w:rPr>
          <w:rFonts w:ascii="Arial" w:hAnsi="Arial" w:cs="Arial"/>
          <w:sz w:val="24"/>
          <w:szCs w:val="24"/>
        </w:rPr>
        <w:t xml:space="preserve">différences dans l’orchestration de l’activisme au sein de ces deux entreprises. A cette fin, sa construction s’est basée, comme précisé lors de la définition de la question de recherche, sur des variables </w:t>
      </w:r>
      <w:r w:rsidR="003D3306">
        <w:rPr>
          <w:rFonts w:ascii="Arial" w:hAnsi="Arial" w:cs="Arial"/>
          <w:sz w:val="24"/>
          <w:szCs w:val="24"/>
        </w:rPr>
        <w:t>stratégique</w:t>
      </w:r>
      <w:r w:rsidR="00AC4733">
        <w:rPr>
          <w:rFonts w:ascii="Arial" w:hAnsi="Arial" w:cs="Arial"/>
          <w:sz w:val="24"/>
          <w:szCs w:val="24"/>
        </w:rPr>
        <w:t xml:space="preserve">s, </w:t>
      </w:r>
      <w:r w:rsidR="004E5171">
        <w:rPr>
          <w:rFonts w:ascii="Arial" w:hAnsi="Arial" w:cs="Arial"/>
          <w:sz w:val="24"/>
          <w:szCs w:val="24"/>
        </w:rPr>
        <w:t>actionnariales, financières, de gouvernance et politique</w:t>
      </w:r>
      <w:r w:rsidR="00001F05">
        <w:rPr>
          <w:rFonts w:ascii="Arial" w:hAnsi="Arial" w:cs="Arial"/>
          <w:sz w:val="24"/>
          <w:szCs w:val="24"/>
        </w:rPr>
        <w:t>s</w:t>
      </w:r>
      <w:r w:rsidR="004E5171">
        <w:rPr>
          <w:rFonts w:ascii="Arial" w:hAnsi="Arial" w:cs="Arial"/>
          <w:sz w:val="24"/>
          <w:szCs w:val="24"/>
        </w:rPr>
        <w:t>.</w:t>
      </w:r>
      <w:r>
        <w:rPr>
          <w:rFonts w:ascii="Arial" w:hAnsi="Arial" w:cs="Arial"/>
          <w:sz w:val="24"/>
          <w:szCs w:val="24"/>
        </w:rPr>
        <w:t xml:space="preserve"> </w:t>
      </w:r>
    </w:p>
    <w:p w14:paraId="394CD91E" w14:textId="54323980" w:rsidR="00391990" w:rsidRDefault="00391990" w:rsidP="00391990">
      <w:pPr>
        <w:pStyle w:val="Paragraphedeliste"/>
        <w:spacing w:line="240" w:lineRule="auto"/>
        <w:jc w:val="both"/>
        <w:rPr>
          <w:rFonts w:ascii="Arial" w:hAnsi="Arial" w:cs="Arial"/>
          <w:sz w:val="24"/>
          <w:szCs w:val="24"/>
        </w:rPr>
      </w:pPr>
    </w:p>
    <w:p w14:paraId="25D4C908" w14:textId="27505E1D" w:rsidR="00391990" w:rsidRPr="00991FBA" w:rsidRDefault="00391990" w:rsidP="00391990">
      <w:pPr>
        <w:pStyle w:val="Paragraphedeliste"/>
        <w:spacing w:line="240" w:lineRule="auto"/>
        <w:jc w:val="both"/>
        <w:rPr>
          <w:rFonts w:ascii="Arial" w:hAnsi="Arial" w:cs="Arial"/>
          <w:sz w:val="24"/>
          <w:szCs w:val="24"/>
          <w:u w:val="single"/>
        </w:rPr>
      </w:pPr>
      <w:r w:rsidRPr="00991FBA">
        <w:rPr>
          <w:rFonts w:ascii="Arial" w:hAnsi="Arial" w:cs="Arial"/>
          <w:sz w:val="24"/>
          <w:szCs w:val="24"/>
          <w:u w:val="single"/>
        </w:rPr>
        <w:t xml:space="preserve">Tableau 4 : </w:t>
      </w:r>
      <w:r w:rsidR="00991FBA" w:rsidRPr="00991FBA">
        <w:rPr>
          <w:rFonts w:ascii="Arial" w:hAnsi="Arial" w:cs="Arial"/>
          <w:sz w:val="24"/>
          <w:szCs w:val="24"/>
          <w:u w:val="single"/>
        </w:rPr>
        <w:t>S</w:t>
      </w:r>
      <w:r w:rsidRPr="00991FBA">
        <w:rPr>
          <w:rFonts w:ascii="Arial" w:hAnsi="Arial" w:cs="Arial"/>
          <w:sz w:val="24"/>
          <w:szCs w:val="24"/>
          <w:u w:val="single"/>
        </w:rPr>
        <w:t xml:space="preserve">ynthèse de </w:t>
      </w:r>
      <w:r w:rsidR="00991FBA" w:rsidRPr="00991FBA">
        <w:rPr>
          <w:rFonts w:ascii="Arial" w:hAnsi="Arial" w:cs="Arial"/>
          <w:sz w:val="24"/>
          <w:szCs w:val="24"/>
          <w:u w:val="single"/>
        </w:rPr>
        <w:t xml:space="preserve">l’exercice activiste au sein des deux entreprises </w:t>
      </w:r>
      <w:r w:rsidRPr="00991FBA">
        <w:rPr>
          <w:rFonts w:ascii="Arial" w:hAnsi="Arial" w:cs="Arial"/>
          <w:sz w:val="24"/>
          <w:szCs w:val="24"/>
          <w:u w:val="single"/>
        </w:rPr>
        <w:t xml:space="preserve"> </w:t>
      </w:r>
    </w:p>
    <w:p w14:paraId="7F1792AD" w14:textId="77777777" w:rsidR="00391990" w:rsidRPr="00391990" w:rsidRDefault="00391990" w:rsidP="00391990">
      <w:pPr>
        <w:pStyle w:val="Paragraphedeliste"/>
        <w:spacing w:line="240" w:lineRule="auto"/>
        <w:jc w:val="both"/>
        <w:rPr>
          <w:rFonts w:ascii="Arial" w:hAnsi="Arial" w:cs="Arial"/>
          <w:sz w:val="24"/>
          <w:szCs w:val="24"/>
        </w:rPr>
      </w:pPr>
    </w:p>
    <w:tbl>
      <w:tblPr>
        <w:tblStyle w:val="TableauGrille4-Accentuation3"/>
        <w:tblW w:w="9634" w:type="dxa"/>
        <w:tblLook w:val="04A0" w:firstRow="1" w:lastRow="0" w:firstColumn="1" w:lastColumn="0" w:noHBand="0" w:noVBand="1"/>
      </w:tblPr>
      <w:tblGrid>
        <w:gridCol w:w="3397"/>
        <w:gridCol w:w="2977"/>
        <w:gridCol w:w="3260"/>
      </w:tblGrid>
      <w:tr w:rsidR="00225B69" w14:paraId="3E1D1C41" w14:textId="77777777" w:rsidTr="00557D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2D41A74" w14:textId="77777777" w:rsidR="00225B69" w:rsidRPr="00225B69" w:rsidRDefault="00225B69" w:rsidP="00EA0AE5">
            <w:pPr>
              <w:pStyle w:val="Paragraphedeliste"/>
              <w:ind w:left="0"/>
              <w:jc w:val="both"/>
              <w:rPr>
                <w:rFonts w:ascii="Arial" w:hAnsi="Arial" w:cs="Arial"/>
                <w:sz w:val="20"/>
                <w:szCs w:val="20"/>
              </w:rPr>
            </w:pPr>
          </w:p>
        </w:tc>
        <w:tc>
          <w:tcPr>
            <w:tcW w:w="2977" w:type="dxa"/>
          </w:tcPr>
          <w:p w14:paraId="1E077902" w14:textId="4D19A4A8" w:rsidR="00225B69" w:rsidRPr="00225B69" w:rsidRDefault="00225B69" w:rsidP="00EA0AE5">
            <w:pPr>
              <w:pStyle w:val="Paragraphedeliste"/>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Accor</w:t>
            </w:r>
          </w:p>
        </w:tc>
        <w:tc>
          <w:tcPr>
            <w:tcW w:w="3260" w:type="dxa"/>
          </w:tcPr>
          <w:p w14:paraId="1FBA034B" w14:textId="69355A04" w:rsidR="00225B69" w:rsidRPr="00225B69" w:rsidRDefault="00225B69" w:rsidP="00EA0AE5">
            <w:pPr>
              <w:pStyle w:val="Paragraphedeliste"/>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25B69">
              <w:rPr>
                <w:rFonts w:ascii="Arial" w:hAnsi="Arial" w:cs="Arial"/>
                <w:sz w:val="20"/>
                <w:szCs w:val="20"/>
              </w:rPr>
              <w:t>Lagardère</w:t>
            </w:r>
          </w:p>
        </w:tc>
      </w:tr>
      <w:tr w:rsidR="007162B3" w14:paraId="6D41B6EF" w14:textId="77777777" w:rsidTr="00557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92C1424" w14:textId="148D765F" w:rsidR="007162B3" w:rsidRPr="00CD28EA" w:rsidRDefault="00035077" w:rsidP="00EA0AE5">
            <w:pPr>
              <w:pStyle w:val="Paragraphedeliste"/>
              <w:ind w:left="0"/>
              <w:jc w:val="both"/>
              <w:rPr>
                <w:rFonts w:ascii="Arial" w:hAnsi="Arial" w:cs="Arial"/>
                <w:b w:val="0"/>
                <w:bCs w:val="0"/>
                <w:sz w:val="20"/>
                <w:szCs w:val="20"/>
              </w:rPr>
            </w:pPr>
            <w:r>
              <w:rPr>
                <w:rFonts w:ascii="Arial" w:hAnsi="Arial" w:cs="Arial"/>
                <w:b w:val="0"/>
                <w:bCs w:val="0"/>
                <w:sz w:val="20"/>
                <w:szCs w:val="20"/>
              </w:rPr>
              <w:t>Type de c</w:t>
            </w:r>
            <w:r w:rsidR="007162B3" w:rsidRPr="00CD28EA">
              <w:rPr>
                <w:rFonts w:ascii="Arial" w:hAnsi="Arial" w:cs="Arial"/>
                <w:b w:val="0"/>
                <w:bCs w:val="0"/>
                <w:sz w:val="20"/>
                <w:szCs w:val="20"/>
              </w:rPr>
              <w:t>apitalisme</w:t>
            </w:r>
          </w:p>
        </w:tc>
        <w:tc>
          <w:tcPr>
            <w:tcW w:w="2977" w:type="dxa"/>
          </w:tcPr>
          <w:p w14:paraId="3B0D8C22" w14:textId="7DC1F278" w:rsidR="007162B3" w:rsidRPr="00225B69" w:rsidRDefault="007162B3"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Patrimonial moderniste</w:t>
            </w:r>
          </w:p>
        </w:tc>
        <w:tc>
          <w:tcPr>
            <w:tcW w:w="3260" w:type="dxa"/>
          </w:tcPr>
          <w:p w14:paraId="11C5D324" w14:textId="09F8C1B1" w:rsidR="007162B3" w:rsidRPr="00225B69" w:rsidRDefault="007162B3"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Patrimonial traditionnel</w:t>
            </w:r>
          </w:p>
        </w:tc>
      </w:tr>
      <w:tr w:rsidR="005D7894" w14:paraId="323BE58B" w14:textId="77777777" w:rsidTr="00557D8D">
        <w:tc>
          <w:tcPr>
            <w:cnfStyle w:val="001000000000" w:firstRow="0" w:lastRow="0" w:firstColumn="1" w:lastColumn="0" w:oddVBand="0" w:evenVBand="0" w:oddHBand="0" w:evenHBand="0" w:firstRowFirstColumn="0" w:firstRowLastColumn="0" w:lastRowFirstColumn="0" w:lastRowLastColumn="0"/>
            <w:tcW w:w="3397" w:type="dxa"/>
          </w:tcPr>
          <w:p w14:paraId="68381526" w14:textId="242CA843" w:rsidR="005D7894" w:rsidRDefault="005D7894" w:rsidP="00EA0AE5">
            <w:pPr>
              <w:pStyle w:val="Paragraphedeliste"/>
              <w:ind w:left="0"/>
              <w:jc w:val="both"/>
              <w:rPr>
                <w:rFonts w:ascii="Arial" w:hAnsi="Arial" w:cs="Arial"/>
                <w:b w:val="0"/>
                <w:bCs w:val="0"/>
                <w:sz w:val="20"/>
                <w:szCs w:val="20"/>
              </w:rPr>
            </w:pPr>
            <w:r>
              <w:rPr>
                <w:rFonts w:ascii="Arial" w:hAnsi="Arial" w:cs="Arial"/>
                <w:b w:val="0"/>
                <w:bCs w:val="0"/>
                <w:sz w:val="20"/>
                <w:szCs w:val="20"/>
              </w:rPr>
              <w:t>Type de capital</w:t>
            </w:r>
          </w:p>
        </w:tc>
        <w:tc>
          <w:tcPr>
            <w:tcW w:w="2977" w:type="dxa"/>
          </w:tcPr>
          <w:p w14:paraId="4A903FC0" w14:textId="7F87D12E" w:rsidR="005D7894" w:rsidRDefault="005D7894"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Ouvert</w:t>
            </w:r>
          </w:p>
        </w:tc>
        <w:tc>
          <w:tcPr>
            <w:tcW w:w="3260" w:type="dxa"/>
          </w:tcPr>
          <w:p w14:paraId="1AEA86A3" w14:textId="3B06B19F" w:rsidR="005D7894" w:rsidRDefault="005D7894"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Fermé</w:t>
            </w:r>
          </w:p>
        </w:tc>
      </w:tr>
      <w:tr w:rsidR="0044165E" w14:paraId="0CCB2F47" w14:textId="77777777" w:rsidTr="00557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920A992" w14:textId="6368DFDE" w:rsidR="0044165E" w:rsidRDefault="0044165E" w:rsidP="00EA0AE5">
            <w:pPr>
              <w:pStyle w:val="Paragraphedeliste"/>
              <w:ind w:left="0"/>
              <w:jc w:val="both"/>
              <w:rPr>
                <w:rFonts w:ascii="Arial" w:hAnsi="Arial" w:cs="Arial"/>
                <w:b w:val="0"/>
                <w:bCs w:val="0"/>
                <w:sz w:val="20"/>
                <w:szCs w:val="20"/>
              </w:rPr>
            </w:pPr>
            <w:r>
              <w:rPr>
                <w:rFonts w:ascii="Arial" w:hAnsi="Arial" w:cs="Arial"/>
                <w:b w:val="0"/>
                <w:bCs w:val="0"/>
                <w:sz w:val="20"/>
                <w:szCs w:val="20"/>
              </w:rPr>
              <w:t>Cotation en Bourse</w:t>
            </w:r>
          </w:p>
        </w:tc>
        <w:tc>
          <w:tcPr>
            <w:tcW w:w="2977" w:type="dxa"/>
          </w:tcPr>
          <w:p w14:paraId="65160B7F" w14:textId="678C8133" w:rsidR="0044165E" w:rsidRDefault="0044165E"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Oui – CAC 40</w:t>
            </w:r>
          </w:p>
        </w:tc>
        <w:tc>
          <w:tcPr>
            <w:tcW w:w="3260" w:type="dxa"/>
          </w:tcPr>
          <w:p w14:paraId="19C3EF97" w14:textId="2CBFAE8A" w:rsidR="0044165E" w:rsidRDefault="0044165E"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Oui</w:t>
            </w:r>
            <w:r w:rsidR="005850BE">
              <w:rPr>
                <w:rFonts w:ascii="Arial" w:hAnsi="Arial" w:cs="Arial"/>
                <w:sz w:val="20"/>
                <w:szCs w:val="20"/>
              </w:rPr>
              <w:t xml:space="preserve"> – SBF 120</w:t>
            </w:r>
          </w:p>
        </w:tc>
      </w:tr>
      <w:tr w:rsidR="00225B69" w14:paraId="47EC6EC9" w14:textId="77777777" w:rsidTr="00557D8D">
        <w:tc>
          <w:tcPr>
            <w:cnfStyle w:val="001000000000" w:firstRow="0" w:lastRow="0" w:firstColumn="1" w:lastColumn="0" w:oddVBand="0" w:evenVBand="0" w:oddHBand="0" w:evenHBand="0" w:firstRowFirstColumn="0" w:firstRowLastColumn="0" w:lastRowFirstColumn="0" w:lastRowLastColumn="0"/>
            <w:tcW w:w="3397" w:type="dxa"/>
          </w:tcPr>
          <w:p w14:paraId="7DD1B271" w14:textId="0D3F5B60" w:rsidR="00225B69" w:rsidRPr="00CD28EA" w:rsidRDefault="00FB58A0" w:rsidP="00676F04">
            <w:pPr>
              <w:pStyle w:val="Paragraphedeliste"/>
              <w:ind w:left="0"/>
              <w:rPr>
                <w:rFonts w:ascii="Arial" w:hAnsi="Arial" w:cs="Arial"/>
                <w:b w:val="0"/>
                <w:bCs w:val="0"/>
                <w:sz w:val="20"/>
                <w:szCs w:val="20"/>
              </w:rPr>
            </w:pPr>
            <w:r w:rsidRPr="00CD28EA">
              <w:rPr>
                <w:rFonts w:ascii="Arial" w:hAnsi="Arial" w:cs="Arial"/>
                <w:b w:val="0"/>
                <w:bCs w:val="0"/>
                <w:sz w:val="20"/>
                <w:szCs w:val="20"/>
              </w:rPr>
              <w:t xml:space="preserve">Variables </w:t>
            </w:r>
            <w:r w:rsidR="002D655E" w:rsidRPr="00CD28EA">
              <w:rPr>
                <w:rFonts w:ascii="Arial" w:hAnsi="Arial" w:cs="Arial"/>
                <w:b w:val="0"/>
                <w:bCs w:val="0"/>
                <w:sz w:val="20"/>
                <w:szCs w:val="20"/>
              </w:rPr>
              <w:t>s</w:t>
            </w:r>
            <w:r w:rsidR="00AC4733" w:rsidRPr="00CD28EA">
              <w:rPr>
                <w:rFonts w:ascii="Arial" w:hAnsi="Arial" w:cs="Arial"/>
                <w:b w:val="0"/>
                <w:bCs w:val="0"/>
                <w:sz w:val="20"/>
                <w:szCs w:val="20"/>
              </w:rPr>
              <w:t>tr</w:t>
            </w:r>
            <w:r w:rsidR="003D3306" w:rsidRPr="00CD28EA">
              <w:rPr>
                <w:rFonts w:ascii="Arial" w:hAnsi="Arial" w:cs="Arial"/>
                <w:b w:val="0"/>
                <w:bCs w:val="0"/>
                <w:sz w:val="20"/>
                <w:szCs w:val="20"/>
              </w:rPr>
              <w:t>atégi</w:t>
            </w:r>
            <w:r w:rsidRPr="00CD28EA">
              <w:rPr>
                <w:rFonts w:ascii="Arial" w:hAnsi="Arial" w:cs="Arial"/>
                <w:b w:val="0"/>
                <w:bCs w:val="0"/>
                <w:sz w:val="20"/>
                <w:szCs w:val="20"/>
              </w:rPr>
              <w:t>que</w:t>
            </w:r>
            <w:r w:rsidR="003D3306" w:rsidRPr="00CD28EA">
              <w:rPr>
                <w:rFonts w:ascii="Arial" w:hAnsi="Arial" w:cs="Arial"/>
                <w:b w:val="0"/>
                <w:bCs w:val="0"/>
                <w:sz w:val="20"/>
                <w:szCs w:val="20"/>
              </w:rPr>
              <w:t xml:space="preserve">s </w:t>
            </w:r>
          </w:p>
        </w:tc>
        <w:tc>
          <w:tcPr>
            <w:tcW w:w="2977" w:type="dxa"/>
          </w:tcPr>
          <w:p w14:paraId="70B7882B" w14:textId="32FD4CF0" w:rsidR="00225B69" w:rsidRPr="00225B69" w:rsidRDefault="00C547D9"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w:t>
            </w:r>
            <w:r w:rsidR="00FB58A0">
              <w:rPr>
                <w:rFonts w:ascii="Arial" w:hAnsi="Arial" w:cs="Arial"/>
                <w:sz w:val="20"/>
                <w:szCs w:val="20"/>
              </w:rPr>
              <w:t>ulti</w:t>
            </w:r>
            <w:r w:rsidR="000E4C8D">
              <w:rPr>
                <w:rFonts w:ascii="Arial" w:hAnsi="Arial" w:cs="Arial"/>
                <w:sz w:val="20"/>
                <w:szCs w:val="20"/>
              </w:rPr>
              <w:t>-</w:t>
            </w:r>
            <w:r w:rsidR="004812C2">
              <w:rPr>
                <w:rFonts w:ascii="Arial" w:hAnsi="Arial" w:cs="Arial"/>
                <w:sz w:val="20"/>
                <w:szCs w:val="20"/>
              </w:rPr>
              <w:t>métiers</w:t>
            </w:r>
          </w:p>
        </w:tc>
        <w:tc>
          <w:tcPr>
            <w:tcW w:w="3260" w:type="dxa"/>
          </w:tcPr>
          <w:p w14:paraId="4BEFC1D9" w14:textId="113D39F8" w:rsidR="00225B69" w:rsidRPr="00225B69" w:rsidRDefault="00C547D9"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w:t>
            </w:r>
            <w:r w:rsidR="004812C2">
              <w:rPr>
                <w:rFonts w:ascii="Arial" w:hAnsi="Arial" w:cs="Arial"/>
                <w:sz w:val="20"/>
                <w:szCs w:val="20"/>
              </w:rPr>
              <w:t>ulti-métiers</w:t>
            </w:r>
          </w:p>
        </w:tc>
      </w:tr>
      <w:tr w:rsidR="00225B69" w14:paraId="7596C6A6" w14:textId="77777777" w:rsidTr="00557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462DD66" w14:textId="05A1C728" w:rsidR="00225B69" w:rsidRPr="00CD28EA" w:rsidRDefault="002D655E" w:rsidP="00676F04">
            <w:pPr>
              <w:pStyle w:val="Paragraphedeliste"/>
              <w:ind w:left="0"/>
              <w:rPr>
                <w:rFonts w:ascii="Arial" w:hAnsi="Arial" w:cs="Arial"/>
                <w:b w:val="0"/>
                <w:bCs w:val="0"/>
                <w:sz w:val="20"/>
                <w:szCs w:val="20"/>
              </w:rPr>
            </w:pPr>
            <w:r w:rsidRPr="00CD28EA">
              <w:rPr>
                <w:rFonts w:ascii="Arial" w:hAnsi="Arial" w:cs="Arial"/>
                <w:b w:val="0"/>
                <w:bCs w:val="0"/>
                <w:sz w:val="20"/>
                <w:szCs w:val="20"/>
              </w:rPr>
              <w:t>Variables actionnariales</w:t>
            </w:r>
          </w:p>
        </w:tc>
        <w:tc>
          <w:tcPr>
            <w:tcW w:w="2977" w:type="dxa"/>
          </w:tcPr>
          <w:p w14:paraId="6FD47DB9" w14:textId="2FC7D403" w:rsidR="00225B69" w:rsidRPr="00225B69" w:rsidRDefault="00CF403A"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Multidimensionnelles</w:t>
            </w:r>
          </w:p>
        </w:tc>
        <w:tc>
          <w:tcPr>
            <w:tcW w:w="3260" w:type="dxa"/>
          </w:tcPr>
          <w:p w14:paraId="45E82315" w14:textId="6250096C" w:rsidR="00225B69" w:rsidRPr="00225B69" w:rsidRDefault="00CF403A"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Multidimensionnelles</w:t>
            </w:r>
          </w:p>
        </w:tc>
      </w:tr>
      <w:tr w:rsidR="000F251D" w14:paraId="7F41F6D8" w14:textId="77777777" w:rsidTr="00557D8D">
        <w:tc>
          <w:tcPr>
            <w:cnfStyle w:val="001000000000" w:firstRow="0" w:lastRow="0" w:firstColumn="1" w:lastColumn="0" w:oddVBand="0" w:evenVBand="0" w:oddHBand="0" w:evenHBand="0" w:firstRowFirstColumn="0" w:firstRowLastColumn="0" w:lastRowFirstColumn="0" w:lastRowLastColumn="0"/>
            <w:tcW w:w="3397" w:type="dxa"/>
          </w:tcPr>
          <w:p w14:paraId="19A48ECE" w14:textId="4E80F6FD" w:rsidR="000F251D" w:rsidRPr="00CD28EA" w:rsidRDefault="000F251D" w:rsidP="00676F04">
            <w:pPr>
              <w:pStyle w:val="Paragraphedeliste"/>
              <w:ind w:left="0"/>
              <w:rPr>
                <w:rFonts w:ascii="Arial" w:hAnsi="Arial" w:cs="Arial"/>
                <w:b w:val="0"/>
                <w:bCs w:val="0"/>
                <w:sz w:val="20"/>
                <w:szCs w:val="20"/>
              </w:rPr>
            </w:pPr>
            <w:r>
              <w:rPr>
                <w:rFonts w:ascii="Arial" w:hAnsi="Arial" w:cs="Arial"/>
                <w:b w:val="0"/>
                <w:bCs w:val="0"/>
                <w:sz w:val="20"/>
                <w:szCs w:val="20"/>
              </w:rPr>
              <w:t>Approche discursive initiale</w:t>
            </w:r>
          </w:p>
        </w:tc>
        <w:tc>
          <w:tcPr>
            <w:tcW w:w="2977" w:type="dxa"/>
          </w:tcPr>
          <w:p w14:paraId="590733D9" w14:textId="6FF244BE" w:rsidR="000F251D" w:rsidRPr="00225B69" w:rsidRDefault="000F251D"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Rassurante</w:t>
            </w:r>
          </w:p>
        </w:tc>
        <w:tc>
          <w:tcPr>
            <w:tcW w:w="3260" w:type="dxa"/>
          </w:tcPr>
          <w:p w14:paraId="045D02D2" w14:textId="309D0A16" w:rsidR="000F251D" w:rsidRPr="00225B69" w:rsidRDefault="000F251D"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Peu rassurante</w:t>
            </w:r>
          </w:p>
        </w:tc>
      </w:tr>
      <w:tr w:rsidR="00225B69" w14:paraId="030C1A4E" w14:textId="77777777" w:rsidTr="00557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44FCF55" w14:textId="4182899A" w:rsidR="00225B69" w:rsidRPr="00CD28EA" w:rsidRDefault="002D655E" w:rsidP="00676F04">
            <w:pPr>
              <w:pStyle w:val="Paragraphedeliste"/>
              <w:ind w:left="0"/>
              <w:rPr>
                <w:rFonts w:ascii="Arial" w:hAnsi="Arial" w:cs="Arial"/>
                <w:b w:val="0"/>
                <w:bCs w:val="0"/>
                <w:sz w:val="20"/>
                <w:szCs w:val="20"/>
              </w:rPr>
            </w:pPr>
            <w:r w:rsidRPr="00CD28EA">
              <w:rPr>
                <w:rFonts w:ascii="Arial" w:hAnsi="Arial" w:cs="Arial"/>
                <w:b w:val="0"/>
                <w:bCs w:val="0"/>
                <w:sz w:val="20"/>
                <w:szCs w:val="20"/>
              </w:rPr>
              <w:t>Nationalité de l’investisseur</w:t>
            </w:r>
          </w:p>
        </w:tc>
        <w:tc>
          <w:tcPr>
            <w:tcW w:w="2977" w:type="dxa"/>
          </w:tcPr>
          <w:p w14:paraId="74D1C19F" w14:textId="6F7B0BCB" w:rsidR="00225B69" w:rsidRPr="00225B69" w:rsidRDefault="00DD78FD"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2D655E">
              <w:rPr>
                <w:rFonts w:ascii="Arial" w:hAnsi="Arial" w:cs="Arial"/>
                <w:sz w:val="20"/>
                <w:szCs w:val="20"/>
              </w:rPr>
              <w:t>n</w:t>
            </w:r>
            <w:r>
              <w:rPr>
                <w:rFonts w:ascii="Arial" w:hAnsi="Arial" w:cs="Arial"/>
                <w:sz w:val="20"/>
                <w:szCs w:val="20"/>
              </w:rPr>
              <w:t>glo-saxon</w:t>
            </w:r>
          </w:p>
        </w:tc>
        <w:tc>
          <w:tcPr>
            <w:tcW w:w="3260" w:type="dxa"/>
          </w:tcPr>
          <w:p w14:paraId="2DFDF77C" w14:textId="701C27F9" w:rsidR="00225B69" w:rsidRPr="00225B69" w:rsidRDefault="00DD78FD"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Anglo-saxon</w:t>
            </w:r>
          </w:p>
        </w:tc>
      </w:tr>
      <w:tr w:rsidR="00641F23" w14:paraId="7E884416" w14:textId="77777777" w:rsidTr="00557D8D">
        <w:tc>
          <w:tcPr>
            <w:cnfStyle w:val="001000000000" w:firstRow="0" w:lastRow="0" w:firstColumn="1" w:lastColumn="0" w:oddVBand="0" w:evenVBand="0" w:oddHBand="0" w:evenHBand="0" w:firstRowFirstColumn="0" w:firstRowLastColumn="0" w:lastRowFirstColumn="0" w:lastRowLastColumn="0"/>
            <w:tcW w:w="3397" w:type="dxa"/>
          </w:tcPr>
          <w:p w14:paraId="26B55D85" w14:textId="1B82558A" w:rsidR="00641F23" w:rsidRPr="00CD28EA" w:rsidRDefault="00236EEC" w:rsidP="00676F04">
            <w:pPr>
              <w:pStyle w:val="Paragraphedeliste"/>
              <w:ind w:left="0"/>
              <w:rPr>
                <w:rFonts w:ascii="Arial" w:hAnsi="Arial" w:cs="Arial"/>
                <w:b w:val="0"/>
                <w:bCs w:val="0"/>
                <w:sz w:val="20"/>
                <w:szCs w:val="20"/>
              </w:rPr>
            </w:pPr>
            <w:r>
              <w:rPr>
                <w:rFonts w:ascii="Arial" w:hAnsi="Arial" w:cs="Arial"/>
                <w:b w:val="0"/>
                <w:bCs w:val="0"/>
                <w:sz w:val="20"/>
                <w:szCs w:val="20"/>
              </w:rPr>
              <w:t xml:space="preserve">Historique activiste en </w:t>
            </w:r>
            <w:r w:rsidR="00644E0F">
              <w:rPr>
                <w:rFonts w:ascii="Arial" w:hAnsi="Arial" w:cs="Arial"/>
                <w:b w:val="0"/>
                <w:bCs w:val="0"/>
                <w:sz w:val="20"/>
                <w:szCs w:val="20"/>
              </w:rPr>
              <w:t>France</w:t>
            </w:r>
          </w:p>
        </w:tc>
        <w:tc>
          <w:tcPr>
            <w:tcW w:w="2977" w:type="dxa"/>
          </w:tcPr>
          <w:p w14:paraId="16D16CF8" w14:textId="55323392" w:rsidR="00641F23" w:rsidRDefault="00236EEC"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Non </w:t>
            </w:r>
          </w:p>
        </w:tc>
        <w:tc>
          <w:tcPr>
            <w:tcW w:w="3260" w:type="dxa"/>
          </w:tcPr>
          <w:p w14:paraId="7B4E1BAA" w14:textId="24A33399" w:rsidR="00641F23" w:rsidRDefault="00236EEC"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Oui</w:t>
            </w:r>
          </w:p>
        </w:tc>
      </w:tr>
      <w:tr w:rsidR="00F9228B" w14:paraId="05B71562" w14:textId="77777777" w:rsidTr="00557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726CAB7" w14:textId="20CF52A8" w:rsidR="00F9228B" w:rsidRDefault="00F9228B" w:rsidP="00676F04">
            <w:pPr>
              <w:pStyle w:val="Paragraphedeliste"/>
              <w:ind w:left="0"/>
              <w:rPr>
                <w:rFonts w:ascii="Arial" w:hAnsi="Arial" w:cs="Arial"/>
                <w:b w:val="0"/>
                <w:bCs w:val="0"/>
                <w:sz w:val="20"/>
                <w:szCs w:val="20"/>
              </w:rPr>
            </w:pPr>
            <w:r>
              <w:rPr>
                <w:rFonts w:ascii="Arial" w:hAnsi="Arial" w:cs="Arial"/>
                <w:b w:val="0"/>
                <w:bCs w:val="0"/>
                <w:sz w:val="20"/>
                <w:szCs w:val="20"/>
              </w:rPr>
              <w:t>Objectif de l’activisme</w:t>
            </w:r>
          </w:p>
        </w:tc>
        <w:tc>
          <w:tcPr>
            <w:tcW w:w="2977" w:type="dxa"/>
          </w:tcPr>
          <w:p w14:paraId="363BA420" w14:textId="182AA4B2" w:rsidR="00F9228B" w:rsidRDefault="00F9228B"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Scission de l’entreprise</w:t>
            </w:r>
          </w:p>
        </w:tc>
        <w:tc>
          <w:tcPr>
            <w:tcW w:w="3260" w:type="dxa"/>
          </w:tcPr>
          <w:p w14:paraId="29142AB4" w14:textId="25E3FE69" w:rsidR="00F9228B" w:rsidRDefault="00C62EB4"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w:t>
            </w:r>
            <w:r w:rsidR="00F9228B">
              <w:rPr>
                <w:rFonts w:ascii="Arial" w:hAnsi="Arial" w:cs="Arial"/>
                <w:sz w:val="20"/>
                <w:szCs w:val="20"/>
              </w:rPr>
              <w:t>émant</w:t>
            </w:r>
            <w:r>
              <w:rPr>
                <w:rFonts w:ascii="Arial" w:hAnsi="Arial" w:cs="Arial"/>
                <w:sz w:val="20"/>
                <w:szCs w:val="20"/>
              </w:rPr>
              <w:t>èlement de l’entreprise</w:t>
            </w:r>
          </w:p>
        </w:tc>
      </w:tr>
      <w:tr w:rsidR="00DC10C2" w14:paraId="64916722" w14:textId="77777777" w:rsidTr="00557D8D">
        <w:tc>
          <w:tcPr>
            <w:cnfStyle w:val="001000000000" w:firstRow="0" w:lastRow="0" w:firstColumn="1" w:lastColumn="0" w:oddVBand="0" w:evenVBand="0" w:oddHBand="0" w:evenHBand="0" w:firstRowFirstColumn="0" w:firstRowLastColumn="0" w:lastRowFirstColumn="0" w:lastRowLastColumn="0"/>
            <w:tcW w:w="3397" w:type="dxa"/>
          </w:tcPr>
          <w:p w14:paraId="5B37AE14" w14:textId="135A249C" w:rsidR="00DC10C2" w:rsidRDefault="00DC10C2" w:rsidP="00676F04">
            <w:pPr>
              <w:pStyle w:val="Paragraphedeliste"/>
              <w:ind w:left="0"/>
              <w:rPr>
                <w:rFonts w:ascii="Arial" w:hAnsi="Arial" w:cs="Arial"/>
                <w:b w:val="0"/>
                <w:bCs w:val="0"/>
                <w:sz w:val="20"/>
                <w:szCs w:val="20"/>
              </w:rPr>
            </w:pPr>
            <w:r>
              <w:rPr>
                <w:rFonts w:ascii="Arial" w:hAnsi="Arial" w:cs="Arial"/>
                <w:b w:val="0"/>
                <w:bCs w:val="0"/>
                <w:sz w:val="20"/>
                <w:szCs w:val="20"/>
              </w:rPr>
              <w:t>Etat de l’activisme</w:t>
            </w:r>
          </w:p>
        </w:tc>
        <w:tc>
          <w:tcPr>
            <w:tcW w:w="2977" w:type="dxa"/>
          </w:tcPr>
          <w:p w14:paraId="021E2450" w14:textId="71ECDFDA" w:rsidR="00DC10C2" w:rsidRDefault="00DC10C2"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Achevé</w:t>
            </w:r>
          </w:p>
        </w:tc>
        <w:tc>
          <w:tcPr>
            <w:tcW w:w="3260" w:type="dxa"/>
          </w:tcPr>
          <w:p w14:paraId="5963CBE1" w14:textId="0104CD7A" w:rsidR="00DC10C2" w:rsidRDefault="00DC10C2"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 cours</w:t>
            </w:r>
          </w:p>
        </w:tc>
      </w:tr>
      <w:tr w:rsidR="0094254F" w14:paraId="38BCB4A2" w14:textId="77777777" w:rsidTr="00557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AB744FC" w14:textId="72AC6276" w:rsidR="0094254F" w:rsidRPr="00CD28EA" w:rsidRDefault="0094254F" w:rsidP="00676F04">
            <w:pPr>
              <w:pStyle w:val="Paragraphedeliste"/>
              <w:ind w:left="0"/>
              <w:rPr>
                <w:rFonts w:ascii="Arial" w:hAnsi="Arial" w:cs="Arial"/>
                <w:b w:val="0"/>
                <w:bCs w:val="0"/>
                <w:sz w:val="20"/>
                <w:szCs w:val="20"/>
              </w:rPr>
            </w:pPr>
            <w:r>
              <w:rPr>
                <w:rFonts w:ascii="Arial" w:hAnsi="Arial" w:cs="Arial"/>
                <w:b w:val="0"/>
                <w:bCs w:val="0"/>
                <w:sz w:val="20"/>
                <w:szCs w:val="20"/>
              </w:rPr>
              <w:t>Temps de présence dans le capital</w:t>
            </w:r>
          </w:p>
        </w:tc>
        <w:tc>
          <w:tcPr>
            <w:tcW w:w="2977" w:type="dxa"/>
          </w:tcPr>
          <w:p w14:paraId="73DE5594" w14:textId="5778A83B" w:rsidR="0094254F" w:rsidRDefault="001F67A6"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 ans</w:t>
            </w:r>
          </w:p>
        </w:tc>
        <w:tc>
          <w:tcPr>
            <w:tcW w:w="3260" w:type="dxa"/>
          </w:tcPr>
          <w:p w14:paraId="33860D65" w14:textId="7220BCD3" w:rsidR="0094254F" w:rsidRDefault="001F67A6"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 ans (en cours)</w:t>
            </w:r>
          </w:p>
        </w:tc>
      </w:tr>
      <w:tr w:rsidR="00B553FA" w14:paraId="1BF6D9E8" w14:textId="77777777" w:rsidTr="00557D8D">
        <w:tc>
          <w:tcPr>
            <w:cnfStyle w:val="001000000000" w:firstRow="0" w:lastRow="0" w:firstColumn="1" w:lastColumn="0" w:oddVBand="0" w:evenVBand="0" w:oddHBand="0" w:evenHBand="0" w:firstRowFirstColumn="0" w:firstRowLastColumn="0" w:lastRowFirstColumn="0" w:lastRowLastColumn="0"/>
            <w:tcW w:w="3397" w:type="dxa"/>
          </w:tcPr>
          <w:p w14:paraId="26E500E7" w14:textId="448CFD1B" w:rsidR="00B553FA" w:rsidRPr="00CD28EA" w:rsidRDefault="007E1DB1" w:rsidP="00676F04">
            <w:pPr>
              <w:pStyle w:val="Paragraphedeliste"/>
              <w:ind w:left="0"/>
              <w:rPr>
                <w:rFonts w:ascii="Arial" w:hAnsi="Arial" w:cs="Arial"/>
                <w:b w:val="0"/>
                <w:bCs w:val="0"/>
                <w:sz w:val="20"/>
                <w:szCs w:val="20"/>
              </w:rPr>
            </w:pPr>
            <w:r w:rsidRPr="00CD28EA">
              <w:rPr>
                <w:rFonts w:ascii="Arial" w:hAnsi="Arial" w:cs="Arial"/>
                <w:b w:val="0"/>
                <w:bCs w:val="0"/>
                <w:sz w:val="20"/>
                <w:szCs w:val="20"/>
              </w:rPr>
              <w:t>Durée de l’activisme</w:t>
            </w:r>
          </w:p>
        </w:tc>
        <w:tc>
          <w:tcPr>
            <w:tcW w:w="2977" w:type="dxa"/>
          </w:tcPr>
          <w:p w14:paraId="3A606207" w14:textId="43FF74DF" w:rsidR="00B553FA" w:rsidRDefault="006E3A2F"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 </w:t>
            </w:r>
            <w:r w:rsidR="007E1DB1">
              <w:rPr>
                <w:rFonts w:ascii="Arial" w:hAnsi="Arial" w:cs="Arial"/>
                <w:sz w:val="20"/>
                <w:szCs w:val="20"/>
              </w:rPr>
              <w:t>ans</w:t>
            </w:r>
          </w:p>
        </w:tc>
        <w:tc>
          <w:tcPr>
            <w:tcW w:w="3260" w:type="dxa"/>
          </w:tcPr>
          <w:p w14:paraId="1E9D84A8" w14:textId="46768E19" w:rsidR="00B553FA" w:rsidRDefault="00CD28EA"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 mois (en cours)</w:t>
            </w:r>
          </w:p>
        </w:tc>
      </w:tr>
      <w:tr w:rsidR="000F251D" w14:paraId="18C02391" w14:textId="77777777" w:rsidTr="00557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259D60A" w14:textId="4478FE48" w:rsidR="00225B69" w:rsidRPr="00CD28EA" w:rsidRDefault="00DD78FD" w:rsidP="00676F04">
            <w:pPr>
              <w:pStyle w:val="Paragraphedeliste"/>
              <w:ind w:left="0"/>
              <w:rPr>
                <w:rFonts w:ascii="Arial" w:hAnsi="Arial" w:cs="Arial"/>
                <w:b w:val="0"/>
                <w:bCs w:val="0"/>
                <w:sz w:val="20"/>
                <w:szCs w:val="20"/>
              </w:rPr>
            </w:pPr>
            <w:r w:rsidRPr="00CD28EA">
              <w:rPr>
                <w:rFonts w:ascii="Arial" w:hAnsi="Arial" w:cs="Arial"/>
                <w:b w:val="0"/>
                <w:bCs w:val="0"/>
                <w:sz w:val="20"/>
                <w:szCs w:val="20"/>
              </w:rPr>
              <w:t>Coalition</w:t>
            </w:r>
            <w:r w:rsidR="00C547D9" w:rsidRPr="00CD28EA">
              <w:rPr>
                <w:rFonts w:ascii="Arial" w:hAnsi="Arial" w:cs="Arial"/>
                <w:b w:val="0"/>
                <w:bCs w:val="0"/>
                <w:sz w:val="20"/>
                <w:szCs w:val="20"/>
              </w:rPr>
              <w:t>s actionnariales</w:t>
            </w:r>
          </w:p>
        </w:tc>
        <w:tc>
          <w:tcPr>
            <w:tcW w:w="2977" w:type="dxa"/>
          </w:tcPr>
          <w:p w14:paraId="4B74FDD9" w14:textId="6877BCF9" w:rsidR="00225B69" w:rsidRPr="00225B69" w:rsidRDefault="007259BC"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Oui (</w:t>
            </w:r>
            <w:proofErr w:type="spellStart"/>
            <w:r>
              <w:rPr>
                <w:rFonts w:ascii="Arial" w:hAnsi="Arial" w:cs="Arial"/>
                <w:sz w:val="20"/>
                <w:szCs w:val="20"/>
              </w:rPr>
              <w:t>Eurazeo</w:t>
            </w:r>
            <w:proofErr w:type="spellEnd"/>
            <w:r>
              <w:rPr>
                <w:rFonts w:ascii="Arial" w:hAnsi="Arial" w:cs="Arial"/>
                <w:sz w:val="20"/>
                <w:szCs w:val="20"/>
              </w:rPr>
              <w:t>)</w:t>
            </w:r>
            <w:r w:rsidR="0097222C">
              <w:rPr>
                <w:rFonts w:ascii="Arial" w:hAnsi="Arial" w:cs="Arial"/>
                <w:sz w:val="20"/>
                <w:szCs w:val="20"/>
              </w:rPr>
              <w:t>, action de concert</w:t>
            </w:r>
            <w:r w:rsidR="008A1CE7">
              <w:rPr>
                <w:rFonts w:ascii="Arial" w:hAnsi="Arial" w:cs="Arial"/>
                <w:sz w:val="20"/>
                <w:szCs w:val="20"/>
              </w:rPr>
              <w:t xml:space="preserve"> (rapide) </w:t>
            </w:r>
          </w:p>
        </w:tc>
        <w:tc>
          <w:tcPr>
            <w:tcW w:w="3260" w:type="dxa"/>
          </w:tcPr>
          <w:p w14:paraId="623B51DB" w14:textId="34F6AE95" w:rsidR="00225B69" w:rsidRPr="00225B69" w:rsidRDefault="007259BC"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Oui (Vivendi)</w:t>
            </w:r>
            <w:r w:rsidR="0097222C">
              <w:rPr>
                <w:rFonts w:ascii="Arial" w:hAnsi="Arial" w:cs="Arial"/>
                <w:sz w:val="20"/>
                <w:szCs w:val="20"/>
              </w:rPr>
              <w:t>, pacte d’actionnaires</w:t>
            </w:r>
            <w:r w:rsidR="008A1CE7">
              <w:rPr>
                <w:rFonts w:ascii="Arial" w:hAnsi="Arial" w:cs="Arial"/>
                <w:sz w:val="20"/>
                <w:szCs w:val="20"/>
              </w:rPr>
              <w:t xml:space="preserve"> (tardif)</w:t>
            </w:r>
          </w:p>
        </w:tc>
      </w:tr>
      <w:tr w:rsidR="00BC5476" w14:paraId="57E7F145" w14:textId="77777777" w:rsidTr="00557D8D">
        <w:tc>
          <w:tcPr>
            <w:cnfStyle w:val="001000000000" w:firstRow="0" w:lastRow="0" w:firstColumn="1" w:lastColumn="0" w:oddVBand="0" w:evenVBand="0" w:oddHBand="0" w:evenHBand="0" w:firstRowFirstColumn="0" w:firstRowLastColumn="0" w:lastRowFirstColumn="0" w:lastRowLastColumn="0"/>
            <w:tcW w:w="3397" w:type="dxa"/>
          </w:tcPr>
          <w:p w14:paraId="5893F99B" w14:textId="76922DF1" w:rsidR="00BC5476" w:rsidRPr="00CD28EA" w:rsidRDefault="00BC5476" w:rsidP="00676F04">
            <w:pPr>
              <w:pStyle w:val="Paragraphedeliste"/>
              <w:ind w:left="0"/>
              <w:rPr>
                <w:rFonts w:ascii="Arial" w:hAnsi="Arial" w:cs="Arial"/>
                <w:b w:val="0"/>
                <w:bCs w:val="0"/>
                <w:sz w:val="20"/>
                <w:szCs w:val="20"/>
              </w:rPr>
            </w:pPr>
            <w:r>
              <w:rPr>
                <w:rFonts w:ascii="Arial" w:hAnsi="Arial" w:cs="Arial"/>
                <w:b w:val="0"/>
                <w:bCs w:val="0"/>
                <w:sz w:val="20"/>
                <w:szCs w:val="20"/>
              </w:rPr>
              <w:t>Nationalité du partenaire</w:t>
            </w:r>
          </w:p>
        </w:tc>
        <w:tc>
          <w:tcPr>
            <w:tcW w:w="2977" w:type="dxa"/>
          </w:tcPr>
          <w:p w14:paraId="3FDB8973" w14:textId="01EF2884" w:rsidR="00BC5476" w:rsidRDefault="00BC5476"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Française</w:t>
            </w:r>
          </w:p>
        </w:tc>
        <w:tc>
          <w:tcPr>
            <w:tcW w:w="3260" w:type="dxa"/>
          </w:tcPr>
          <w:p w14:paraId="6434C7F5" w14:textId="36E77436" w:rsidR="00BC5476" w:rsidRDefault="00BC5476"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Française</w:t>
            </w:r>
          </w:p>
        </w:tc>
      </w:tr>
      <w:tr w:rsidR="00F524B9" w14:paraId="1BB3EF9F" w14:textId="77777777" w:rsidTr="00557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FA2F2D5" w14:textId="7005037B" w:rsidR="00F524B9" w:rsidRPr="00CD28EA" w:rsidRDefault="00F524B9" w:rsidP="00676F04">
            <w:pPr>
              <w:pStyle w:val="Paragraphedeliste"/>
              <w:ind w:left="0"/>
              <w:rPr>
                <w:rFonts w:ascii="Arial" w:hAnsi="Arial" w:cs="Arial"/>
                <w:b w:val="0"/>
                <w:bCs w:val="0"/>
                <w:sz w:val="20"/>
                <w:szCs w:val="20"/>
              </w:rPr>
            </w:pPr>
            <w:r>
              <w:rPr>
                <w:rFonts w:ascii="Arial" w:hAnsi="Arial" w:cs="Arial"/>
                <w:b w:val="0"/>
                <w:bCs w:val="0"/>
                <w:sz w:val="20"/>
                <w:szCs w:val="20"/>
              </w:rPr>
              <w:t>Niveau des participa</w:t>
            </w:r>
            <w:r w:rsidR="00557D8D">
              <w:rPr>
                <w:rFonts w:ascii="Arial" w:hAnsi="Arial" w:cs="Arial"/>
                <w:b w:val="0"/>
                <w:bCs w:val="0"/>
                <w:sz w:val="20"/>
                <w:szCs w:val="20"/>
              </w:rPr>
              <w:t>tions (coalition)</w:t>
            </w:r>
          </w:p>
        </w:tc>
        <w:tc>
          <w:tcPr>
            <w:tcW w:w="2977" w:type="dxa"/>
          </w:tcPr>
          <w:p w14:paraId="394AC6AC" w14:textId="790EAE50" w:rsidR="00F524B9" w:rsidRDefault="003958B5"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Élevé (29 %)</w:t>
            </w:r>
          </w:p>
        </w:tc>
        <w:tc>
          <w:tcPr>
            <w:tcW w:w="3260" w:type="dxa"/>
          </w:tcPr>
          <w:p w14:paraId="04B4808A" w14:textId="389E74C0" w:rsidR="00F524B9" w:rsidRDefault="00387DA8"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Elevé (46 %)</w:t>
            </w:r>
          </w:p>
        </w:tc>
      </w:tr>
      <w:tr w:rsidR="00BC5476" w14:paraId="4A569E07" w14:textId="77777777" w:rsidTr="00557D8D">
        <w:tc>
          <w:tcPr>
            <w:cnfStyle w:val="001000000000" w:firstRow="0" w:lastRow="0" w:firstColumn="1" w:lastColumn="0" w:oddVBand="0" w:evenVBand="0" w:oddHBand="0" w:evenHBand="0" w:firstRowFirstColumn="0" w:firstRowLastColumn="0" w:lastRowFirstColumn="0" w:lastRowLastColumn="0"/>
            <w:tcW w:w="3397" w:type="dxa"/>
          </w:tcPr>
          <w:p w14:paraId="1E211F76" w14:textId="1152B81F" w:rsidR="00225B69" w:rsidRPr="00CD28EA" w:rsidRDefault="00676F04" w:rsidP="00676F04">
            <w:pPr>
              <w:pStyle w:val="Paragraphedeliste"/>
              <w:ind w:left="0"/>
              <w:rPr>
                <w:rFonts w:ascii="Arial" w:hAnsi="Arial" w:cs="Arial"/>
                <w:b w:val="0"/>
                <w:bCs w:val="0"/>
                <w:sz w:val="20"/>
                <w:szCs w:val="20"/>
              </w:rPr>
            </w:pPr>
            <w:r w:rsidRPr="00CD28EA">
              <w:rPr>
                <w:rFonts w:ascii="Arial" w:hAnsi="Arial" w:cs="Arial"/>
                <w:b w:val="0"/>
                <w:bCs w:val="0"/>
                <w:sz w:val="20"/>
                <w:szCs w:val="20"/>
              </w:rPr>
              <w:t>Présence d’un chevalier blanc</w:t>
            </w:r>
          </w:p>
        </w:tc>
        <w:tc>
          <w:tcPr>
            <w:tcW w:w="2977" w:type="dxa"/>
          </w:tcPr>
          <w:p w14:paraId="77C0A4AA" w14:textId="66A8C184" w:rsidR="00225B69" w:rsidRPr="00225B69" w:rsidRDefault="00676F04"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w:t>
            </w:r>
            <w:r w:rsidR="007772E1">
              <w:rPr>
                <w:rFonts w:ascii="Arial" w:hAnsi="Arial" w:cs="Arial"/>
                <w:sz w:val="20"/>
                <w:szCs w:val="20"/>
              </w:rPr>
              <w:t>, peu de résistance</w:t>
            </w:r>
            <w:r w:rsidR="00A81D88">
              <w:rPr>
                <w:rFonts w:ascii="Arial" w:hAnsi="Arial" w:cs="Arial"/>
                <w:sz w:val="20"/>
                <w:szCs w:val="20"/>
              </w:rPr>
              <w:t xml:space="preserve"> actionnarial</w:t>
            </w:r>
          </w:p>
        </w:tc>
        <w:tc>
          <w:tcPr>
            <w:tcW w:w="3260" w:type="dxa"/>
          </w:tcPr>
          <w:p w14:paraId="347A13CE" w14:textId="0C8409D2" w:rsidR="00225B69" w:rsidRPr="00225B69" w:rsidRDefault="00676F04"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Oui</w:t>
            </w:r>
            <w:r w:rsidR="00A81D88">
              <w:rPr>
                <w:rFonts w:ascii="Arial" w:hAnsi="Arial" w:cs="Arial"/>
                <w:sz w:val="20"/>
                <w:szCs w:val="20"/>
              </w:rPr>
              <w:t>, résistance actionnariale</w:t>
            </w:r>
          </w:p>
        </w:tc>
      </w:tr>
      <w:tr w:rsidR="00A86F13" w14:paraId="1EB06E16" w14:textId="77777777" w:rsidTr="00557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098BF8D" w14:textId="56FD0C39" w:rsidR="00A86F13" w:rsidRPr="00CD28EA" w:rsidRDefault="00E673AA" w:rsidP="00676F04">
            <w:pPr>
              <w:pStyle w:val="Paragraphedeliste"/>
              <w:ind w:left="0"/>
              <w:rPr>
                <w:rFonts w:ascii="Arial" w:hAnsi="Arial" w:cs="Arial"/>
                <w:b w:val="0"/>
                <w:bCs w:val="0"/>
                <w:sz w:val="20"/>
                <w:szCs w:val="20"/>
              </w:rPr>
            </w:pPr>
            <w:r>
              <w:rPr>
                <w:rFonts w:ascii="Arial" w:hAnsi="Arial" w:cs="Arial"/>
                <w:b w:val="0"/>
                <w:bCs w:val="0"/>
                <w:sz w:val="20"/>
                <w:szCs w:val="20"/>
              </w:rPr>
              <w:t>Variables f</w:t>
            </w:r>
            <w:r w:rsidR="000E4C8D">
              <w:rPr>
                <w:rFonts w:ascii="Arial" w:hAnsi="Arial" w:cs="Arial"/>
                <w:b w:val="0"/>
                <w:bCs w:val="0"/>
                <w:sz w:val="20"/>
                <w:szCs w:val="20"/>
              </w:rPr>
              <w:t>inancières</w:t>
            </w:r>
          </w:p>
        </w:tc>
        <w:tc>
          <w:tcPr>
            <w:tcW w:w="2977" w:type="dxa"/>
          </w:tcPr>
          <w:p w14:paraId="3EF96B53" w14:textId="66B74A75" w:rsidR="00A86F13" w:rsidRDefault="00694A53"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Perte</w:t>
            </w:r>
            <w:r w:rsidR="001F652E">
              <w:rPr>
                <w:rFonts w:ascii="Arial" w:hAnsi="Arial" w:cs="Arial"/>
                <w:sz w:val="20"/>
                <w:szCs w:val="20"/>
              </w:rPr>
              <w:t>s</w:t>
            </w:r>
            <w:r>
              <w:rPr>
                <w:rFonts w:ascii="Arial" w:hAnsi="Arial" w:cs="Arial"/>
                <w:sz w:val="20"/>
                <w:szCs w:val="20"/>
              </w:rPr>
              <w:t xml:space="preserve"> sur les placements initiaux (</w:t>
            </w:r>
            <w:proofErr w:type="spellStart"/>
            <w:r>
              <w:rPr>
                <w:rFonts w:ascii="Arial" w:hAnsi="Arial" w:cs="Arial"/>
                <w:sz w:val="20"/>
                <w:szCs w:val="20"/>
              </w:rPr>
              <w:t>Eurazeo</w:t>
            </w:r>
            <w:proofErr w:type="spellEnd"/>
            <w:r>
              <w:rPr>
                <w:rFonts w:ascii="Arial" w:hAnsi="Arial" w:cs="Arial"/>
                <w:sz w:val="20"/>
                <w:szCs w:val="20"/>
              </w:rPr>
              <w:t>)</w:t>
            </w:r>
          </w:p>
        </w:tc>
        <w:tc>
          <w:tcPr>
            <w:tcW w:w="3260" w:type="dxa"/>
          </w:tcPr>
          <w:p w14:paraId="01972699" w14:textId="20B049E4" w:rsidR="00A86F13" w:rsidRDefault="00694A53"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Perte</w:t>
            </w:r>
            <w:r w:rsidR="001F652E">
              <w:rPr>
                <w:rFonts w:ascii="Arial" w:hAnsi="Arial" w:cs="Arial"/>
                <w:sz w:val="20"/>
                <w:szCs w:val="20"/>
              </w:rPr>
              <w:t>s</w:t>
            </w:r>
            <w:r>
              <w:rPr>
                <w:rFonts w:ascii="Arial" w:hAnsi="Arial" w:cs="Arial"/>
                <w:sz w:val="20"/>
                <w:szCs w:val="20"/>
              </w:rPr>
              <w:t xml:space="preserve"> sur les placements initiaux (Amber)</w:t>
            </w:r>
          </w:p>
        </w:tc>
      </w:tr>
      <w:tr w:rsidR="00820F2B" w14:paraId="4B549238" w14:textId="77777777" w:rsidTr="00557D8D">
        <w:tc>
          <w:tcPr>
            <w:cnfStyle w:val="001000000000" w:firstRow="0" w:lastRow="0" w:firstColumn="1" w:lastColumn="0" w:oddVBand="0" w:evenVBand="0" w:oddHBand="0" w:evenHBand="0" w:firstRowFirstColumn="0" w:firstRowLastColumn="0" w:lastRowFirstColumn="0" w:lastRowLastColumn="0"/>
            <w:tcW w:w="3397" w:type="dxa"/>
          </w:tcPr>
          <w:p w14:paraId="31E159E7" w14:textId="7F7238A7" w:rsidR="00820F2B" w:rsidRDefault="00590C3A" w:rsidP="00676F04">
            <w:pPr>
              <w:pStyle w:val="Paragraphedeliste"/>
              <w:ind w:left="0"/>
              <w:rPr>
                <w:rFonts w:ascii="Arial" w:hAnsi="Arial" w:cs="Arial"/>
                <w:b w:val="0"/>
                <w:bCs w:val="0"/>
                <w:sz w:val="20"/>
                <w:szCs w:val="20"/>
              </w:rPr>
            </w:pPr>
            <w:r>
              <w:rPr>
                <w:rFonts w:ascii="Arial" w:hAnsi="Arial" w:cs="Arial"/>
                <w:b w:val="0"/>
                <w:bCs w:val="0"/>
                <w:sz w:val="20"/>
                <w:szCs w:val="20"/>
              </w:rPr>
              <w:t>Proportionnalité de la pression institutionnelle</w:t>
            </w:r>
          </w:p>
        </w:tc>
        <w:tc>
          <w:tcPr>
            <w:tcW w:w="2977" w:type="dxa"/>
          </w:tcPr>
          <w:p w14:paraId="2D42BFB9" w14:textId="3A3A8B77" w:rsidR="00820F2B" w:rsidRDefault="00037866"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Fonction de la c</w:t>
            </w:r>
            <w:r w:rsidR="008F159C">
              <w:rPr>
                <w:rFonts w:ascii="Arial" w:hAnsi="Arial" w:cs="Arial"/>
                <w:sz w:val="20"/>
                <w:szCs w:val="20"/>
              </w:rPr>
              <w:t>hute de la performance réelle et boursière</w:t>
            </w:r>
          </w:p>
        </w:tc>
        <w:tc>
          <w:tcPr>
            <w:tcW w:w="3260" w:type="dxa"/>
          </w:tcPr>
          <w:p w14:paraId="74C1D6A6" w14:textId="05CD59A8" w:rsidR="00820F2B" w:rsidRDefault="00037866"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Fonction de la c</w:t>
            </w:r>
            <w:r w:rsidR="008F159C" w:rsidRPr="008F159C">
              <w:rPr>
                <w:rFonts w:ascii="Arial" w:hAnsi="Arial" w:cs="Arial"/>
                <w:sz w:val="20"/>
                <w:szCs w:val="20"/>
              </w:rPr>
              <w:t>hute de la performance réelle et boursière</w:t>
            </w:r>
          </w:p>
        </w:tc>
      </w:tr>
      <w:tr w:rsidR="00FD7311" w14:paraId="46B53D26" w14:textId="77777777" w:rsidTr="00557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67FE23B" w14:textId="2F97BAEF" w:rsidR="00FD7311" w:rsidRDefault="00FD7311" w:rsidP="00676F04">
            <w:pPr>
              <w:pStyle w:val="Paragraphedeliste"/>
              <w:ind w:left="0"/>
              <w:rPr>
                <w:rFonts w:ascii="Arial" w:hAnsi="Arial" w:cs="Arial"/>
                <w:b w:val="0"/>
                <w:bCs w:val="0"/>
                <w:sz w:val="20"/>
                <w:szCs w:val="20"/>
              </w:rPr>
            </w:pPr>
            <w:r>
              <w:rPr>
                <w:rFonts w:ascii="Arial" w:hAnsi="Arial" w:cs="Arial"/>
                <w:b w:val="0"/>
                <w:bCs w:val="0"/>
                <w:sz w:val="20"/>
                <w:szCs w:val="20"/>
              </w:rPr>
              <w:t>Gouvernance</w:t>
            </w:r>
          </w:p>
        </w:tc>
        <w:tc>
          <w:tcPr>
            <w:tcW w:w="2977" w:type="dxa"/>
          </w:tcPr>
          <w:p w14:paraId="2316FADB" w14:textId="0C326C44" w:rsidR="00FD7311" w:rsidRDefault="00FD7311"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Modifiée</w:t>
            </w:r>
            <w:r w:rsidR="006A6785">
              <w:rPr>
                <w:rFonts w:ascii="Arial" w:hAnsi="Arial" w:cs="Arial"/>
                <w:sz w:val="20"/>
                <w:szCs w:val="20"/>
              </w:rPr>
              <w:t xml:space="preserve"> et acquise</w:t>
            </w:r>
          </w:p>
        </w:tc>
        <w:tc>
          <w:tcPr>
            <w:tcW w:w="3260" w:type="dxa"/>
          </w:tcPr>
          <w:p w14:paraId="43A25C21" w14:textId="49610FAD" w:rsidR="00FD7311" w:rsidRDefault="006A6785"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Modifiée mais non acquise</w:t>
            </w:r>
          </w:p>
        </w:tc>
      </w:tr>
      <w:tr w:rsidR="00191AAF" w14:paraId="398A77AC" w14:textId="77777777" w:rsidTr="00557D8D">
        <w:tc>
          <w:tcPr>
            <w:cnfStyle w:val="001000000000" w:firstRow="0" w:lastRow="0" w:firstColumn="1" w:lastColumn="0" w:oddVBand="0" w:evenVBand="0" w:oddHBand="0" w:evenHBand="0" w:firstRowFirstColumn="0" w:firstRowLastColumn="0" w:lastRowFirstColumn="0" w:lastRowLastColumn="0"/>
            <w:tcW w:w="3397" w:type="dxa"/>
          </w:tcPr>
          <w:p w14:paraId="3B0A0564" w14:textId="378F14CE" w:rsidR="00191AAF" w:rsidRDefault="00191AAF" w:rsidP="00676F04">
            <w:pPr>
              <w:pStyle w:val="Paragraphedeliste"/>
              <w:ind w:left="0"/>
              <w:rPr>
                <w:rFonts w:ascii="Arial" w:hAnsi="Arial" w:cs="Arial"/>
                <w:b w:val="0"/>
                <w:bCs w:val="0"/>
                <w:sz w:val="20"/>
                <w:szCs w:val="20"/>
              </w:rPr>
            </w:pPr>
            <w:r>
              <w:rPr>
                <w:rFonts w:ascii="Arial" w:hAnsi="Arial" w:cs="Arial"/>
                <w:b w:val="0"/>
                <w:bCs w:val="0"/>
                <w:sz w:val="20"/>
                <w:szCs w:val="20"/>
              </w:rPr>
              <w:t>Modification dans les équipes dirigeantes</w:t>
            </w:r>
          </w:p>
        </w:tc>
        <w:tc>
          <w:tcPr>
            <w:tcW w:w="2977" w:type="dxa"/>
          </w:tcPr>
          <w:p w14:paraId="0A7DAD51" w14:textId="269B1A21" w:rsidR="00191AAF" w:rsidRDefault="00191AAF"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Oui</w:t>
            </w:r>
          </w:p>
        </w:tc>
        <w:tc>
          <w:tcPr>
            <w:tcW w:w="3260" w:type="dxa"/>
          </w:tcPr>
          <w:p w14:paraId="126EA3B1" w14:textId="7656A4CB" w:rsidR="00191AAF" w:rsidRDefault="00191AAF" w:rsidP="00EA0AE5">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w:t>
            </w:r>
          </w:p>
        </w:tc>
      </w:tr>
      <w:tr w:rsidR="00E2417A" w14:paraId="3BA7AD63" w14:textId="77777777" w:rsidTr="00557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9EF6DF0" w14:textId="3C90373A" w:rsidR="00E2417A" w:rsidRDefault="00E2417A" w:rsidP="00676F04">
            <w:pPr>
              <w:pStyle w:val="Paragraphedeliste"/>
              <w:ind w:left="0"/>
              <w:rPr>
                <w:rFonts w:ascii="Arial" w:hAnsi="Arial" w:cs="Arial"/>
                <w:b w:val="0"/>
                <w:bCs w:val="0"/>
                <w:sz w:val="20"/>
                <w:szCs w:val="20"/>
              </w:rPr>
            </w:pPr>
            <w:r>
              <w:rPr>
                <w:rFonts w:ascii="Arial" w:hAnsi="Arial" w:cs="Arial"/>
                <w:b w:val="0"/>
                <w:bCs w:val="0"/>
                <w:sz w:val="20"/>
                <w:szCs w:val="20"/>
              </w:rPr>
              <w:t>Influence politique</w:t>
            </w:r>
            <w:r w:rsidR="00F55CE5">
              <w:rPr>
                <w:rFonts w:ascii="Arial" w:hAnsi="Arial" w:cs="Arial"/>
                <w:b w:val="0"/>
                <w:bCs w:val="0"/>
                <w:sz w:val="20"/>
                <w:szCs w:val="20"/>
              </w:rPr>
              <w:t xml:space="preserve"> et des réseaux d’affaires</w:t>
            </w:r>
          </w:p>
        </w:tc>
        <w:tc>
          <w:tcPr>
            <w:tcW w:w="2977" w:type="dxa"/>
          </w:tcPr>
          <w:p w14:paraId="71597650" w14:textId="4959501F" w:rsidR="00E2417A" w:rsidRDefault="00E2417A"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Larvée </w:t>
            </w:r>
            <w:r w:rsidR="00677BC8">
              <w:rPr>
                <w:rFonts w:ascii="Arial" w:hAnsi="Arial" w:cs="Arial"/>
                <w:sz w:val="20"/>
                <w:szCs w:val="20"/>
              </w:rPr>
              <w:t>– laisser faire</w:t>
            </w:r>
          </w:p>
        </w:tc>
        <w:tc>
          <w:tcPr>
            <w:tcW w:w="3260" w:type="dxa"/>
          </w:tcPr>
          <w:p w14:paraId="101CCB15" w14:textId="4D3B7C9A" w:rsidR="00E2417A" w:rsidRDefault="002C7C01" w:rsidP="00EA0AE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Omniprésente</w:t>
            </w:r>
            <w:r w:rsidR="00801082">
              <w:rPr>
                <w:rFonts w:ascii="Arial" w:hAnsi="Arial" w:cs="Arial"/>
                <w:sz w:val="20"/>
                <w:szCs w:val="20"/>
              </w:rPr>
              <w:t xml:space="preserve"> mais évolutive</w:t>
            </w:r>
          </w:p>
        </w:tc>
      </w:tr>
    </w:tbl>
    <w:p w14:paraId="0E64433F" w14:textId="77777777" w:rsidR="00EA0AE5" w:rsidRPr="00001F05" w:rsidRDefault="00EA0AE5" w:rsidP="00001F05">
      <w:pPr>
        <w:spacing w:line="240" w:lineRule="auto"/>
        <w:jc w:val="both"/>
        <w:rPr>
          <w:rFonts w:ascii="Arial" w:hAnsi="Arial" w:cs="Arial"/>
          <w:sz w:val="28"/>
          <w:szCs w:val="28"/>
          <w:u w:val="single"/>
        </w:rPr>
      </w:pPr>
    </w:p>
    <w:p w14:paraId="4831542F" w14:textId="37747538" w:rsidR="0011556E" w:rsidRDefault="0011556E" w:rsidP="005C2A31">
      <w:pPr>
        <w:pStyle w:val="Paragraphedeliste"/>
        <w:numPr>
          <w:ilvl w:val="0"/>
          <w:numId w:val="1"/>
        </w:numPr>
        <w:spacing w:line="240" w:lineRule="auto"/>
        <w:jc w:val="both"/>
        <w:rPr>
          <w:rFonts w:ascii="Arial" w:hAnsi="Arial" w:cs="Arial"/>
          <w:sz w:val="28"/>
          <w:szCs w:val="28"/>
          <w:u w:val="single"/>
        </w:rPr>
      </w:pPr>
      <w:r w:rsidRPr="007D32F4">
        <w:rPr>
          <w:rFonts w:ascii="Arial" w:hAnsi="Arial" w:cs="Arial"/>
          <w:sz w:val="28"/>
          <w:szCs w:val="28"/>
          <w:u w:val="single"/>
        </w:rPr>
        <w:t>Conclusions</w:t>
      </w:r>
    </w:p>
    <w:p w14:paraId="587C0012" w14:textId="28EE9AE7" w:rsidR="0099573F" w:rsidRDefault="004913E0" w:rsidP="00AD76A3">
      <w:pPr>
        <w:spacing w:line="240" w:lineRule="auto"/>
        <w:ind w:left="360"/>
        <w:jc w:val="both"/>
        <w:rPr>
          <w:rFonts w:ascii="Arial" w:hAnsi="Arial" w:cs="Arial"/>
          <w:sz w:val="24"/>
          <w:szCs w:val="24"/>
        </w:rPr>
      </w:pPr>
      <w:r>
        <w:rPr>
          <w:rFonts w:ascii="Arial" w:hAnsi="Arial" w:cs="Arial"/>
          <w:sz w:val="24"/>
          <w:szCs w:val="24"/>
        </w:rPr>
        <w:t>L</w:t>
      </w:r>
      <w:r w:rsidR="0044165E">
        <w:rPr>
          <w:rFonts w:ascii="Arial" w:hAnsi="Arial" w:cs="Arial"/>
          <w:sz w:val="24"/>
          <w:szCs w:val="24"/>
        </w:rPr>
        <w:t>’organisation capitalistique des</w:t>
      </w:r>
      <w:r>
        <w:rPr>
          <w:rFonts w:ascii="Arial" w:hAnsi="Arial" w:cs="Arial"/>
          <w:sz w:val="24"/>
          <w:szCs w:val="24"/>
        </w:rPr>
        <w:t xml:space="preserve"> marchés boursiers est bien souvent régie par des paradigmes </w:t>
      </w:r>
      <w:r w:rsidR="00D64A6D">
        <w:rPr>
          <w:rFonts w:ascii="Arial" w:hAnsi="Arial" w:cs="Arial"/>
          <w:sz w:val="24"/>
          <w:szCs w:val="24"/>
        </w:rPr>
        <w:t xml:space="preserve">dérivés des champs politiques et sociologiques qui dépassent dans </w:t>
      </w:r>
      <w:r w:rsidR="00D64A6D">
        <w:rPr>
          <w:rFonts w:ascii="Arial" w:hAnsi="Arial" w:cs="Arial"/>
          <w:sz w:val="24"/>
          <w:szCs w:val="24"/>
        </w:rPr>
        <w:lastRenderedPageBreak/>
        <w:t xml:space="preserve">certains </w:t>
      </w:r>
      <w:r w:rsidR="0097259A">
        <w:rPr>
          <w:rFonts w:ascii="Arial" w:hAnsi="Arial" w:cs="Arial"/>
          <w:sz w:val="24"/>
          <w:szCs w:val="24"/>
        </w:rPr>
        <w:t xml:space="preserve">cas </w:t>
      </w:r>
      <w:r w:rsidR="002D2EBC">
        <w:rPr>
          <w:rFonts w:ascii="Arial" w:hAnsi="Arial" w:cs="Arial"/>
          <w:sz w:val="24"/>
          <w:szCs w:val="24"/>
        </w:rPr>
        <w:t xml:space="preserve">une </w:t>
      </w:r>
      <w:r w:rsidR="00D64A6D">
        <w:rPr>
          <w:rFonts w:ascii="Arial" w:hAnsi="Arial" w:cs="Arial"/>
          <w:sz w:val="24"/>
          <w:szCs w:val="24"/>
        </w:rPr>
        <w:t>réalité e</w:t>
      </w:r>
      <w:r w:rsidR="00506716">
        <w:rPr>
          <w:rFonts w:ascii="Arial" w:hAnsi="Arial" w:cs="Arial"/>
          <w:sz w:val="24"/>
          <w:szCs w:val="24"/>
        </w:rPr>
        <w:t xml:space="preserve">ntrepreneuriale prise de manière isolée. </w:t>
      </w:r>
      <w:r w:rsidR="003B58DB">
        <w:rPr>
          <w:rFonts w:ascii="Arial" w:hAnsi="Arial" w:cs="Arial"/>
          <w:sz w:val="24"/>
          <w:szCs w:val="24"/>
        </w:rPr>
        <w:t>Si l</w:t>
      </w:r>
      <w:r w:rsidR="00506716">
        <w:rPr>
          <w:rFonts w:ascii="Arial" w:hAnsi="Arial" w:cs="Arial"/>
          <w:sz w:val="24"/>
          <w:szCs w:val="24"/>
        </w:rPr>
        <w:t xml:space="preserve">es </w:t>
      </w:r>
      <w:r w:rsidR="003B58DB">
        <w:rPr>
          <w:rFonts w:ascii="Arial" w:hAnsi="Arial" w:cs="Arial"/>
          <w:sz w:val="24"/>
          <w:szCs w:val="24"/>
        </w:rPr>
        <w:t xml:space="preserve">structures de propriété des </w:t>
      </w:r>
      <w:r w:rsidR="005019B6">
        <w:rPr>
          <w:rFonts w:ascii="Arial" w:hAnsi="Arial" w:cs="Arial"/>
          <w:sz w:val="24"/>
          <w:szCs w:val="24"/>
        </w:rPr>
        <w:t>entreprises françaises</w:t>
      </w:r>
      <w:r w:rsidR="003B58DB">
        <w:rPr>
          <w:rFonts w:ascii="Arial" w:hAnsi="Arial" w:cs="Arial"/>
          <w:sz w:val="24"/>
          <w:szCs w:val="24"/>
        </w:rPr>
        <w:t xml:space="preserve"> ont longtemps été caractérisées par de niveaux faibles</w:t>
      </w:r>
      <w:r w:rsidR="00506716">
        <w:rPr>
          <w:rFonts w:ascii="Arial" w:hAnsi="Arial" w:cs="Arial"/>
          <w:sz w:val="24"/>
          <w:szCs w:val="24"/>
        </w:rPr>
        <w:t xml:space="preserve"> </w:t>
      </w:r>
      <w:r w:rsidR="003B58DB">
        <w:rPr>
          <w:rFonts w:ascii="Arial" w:hAnsi="Arial" w:cs="Arial"/>
          <w:sz w:val="24"/>
          <w:szCs w:val="24"/>
        </w:rPr>
        <w:t>de perméabilité</w:t>
      </w:r>
      <w:r w:rsidR="0057750A">
        <w:rPr>
          <w:rFonts w:ascii="Arial" w:hAnsi="Arial" w:cs="Arial"/>
          <w:sz w:val="24"/>
          <w:szCs w:val="24"/>
        </w:rPr>
        <w:t>, l’inscription de celles-ci dans une logique de mondialisation</w:t>
      </w:r>
      <w:r w:rsidR="00122BE9">
        <w:rPr>
          <w:rFonts w:ascii="Arial" w:hAnsi="Arial" w:cs="Arial"/>
          <w:sz w:val="24"/>
          <w:szCs w:val="24"/>
        </w:rPr>
        <w:t xml:space="preserve"> a engendré le développement de nouvelles formules actionnariales</w:t>
      </w:r>
      <w:r w:rsidR="002C5608">
        <w:rPr>
          <w:rFonts w:ascii="Arial" w:hAnsi="Arial" w:cs="Arial"/>
          <w:sz w:val="24"/>
          <w:szCs w:val="24"/>
        </w:rPr>
        <w:t>.</w:t>
      </w:r>
      <w:r w:rsidR="00D43418">
        <w:rPr>
          <w:rFonts w:ascii="Arial" w:hAnsi="Arial" w:cs="Arial"/>
          <w:sz w:val="24"/>
          <w:szCs w:val="24"/>
        </w:rPr>
        <w:t xml:space="preserve"> Dans cette optique, les investisseurs institutionnels constituent une nouvelle donnée actionnariale venue com</w:t>
      </w:r>
      <w:r w:rsidR="00B4414D">
        <w:rPr>
          <w:rFonts w:ascii="Arial" w:hAnsi="Arial" w:cs="Arial"/>
          <w:sz w:val="24"/>
          <w:szCs w:val="24"/>
        </w:rPr>
        <w:t>bler certains trous d’air capitalistique.</w:t>
      </w:r>
      <w:r w:rsidR="002C5608">
        <w:rPr>
          <w:rFonts w:ascii="Arial" w:hAnsi="Arial" w:cs="Arial"/>
          <w:sz w:val="24"/>
          <w:szCs w:val="24"/>
        </w:rPr>
        <w:t xml:space="preserve"> Ainsi, sont censé</w:t>
      </w:r>
      <w:r w:rsidR="002768BE">
        <w:rPr>
          <w:rFonts w:ascii="Arial" w:hAnsi="Arial" w:cs="Arial"/>
          <w:sz w:val="24"/>
          <w:szCs w:val="24"/>
        </w:rPr>
        <w:t>e</w:t>
      </w:r>
      <w:r w:rsidR="002C5608">
        <w:rPr>
          <w:rFonts w:ascii="Arial" w:hAnsi="Arial" w:cs="Arial"/>
          <w:sz w:val="24"/>
          <w:szCs w:val="24"/>
        </w:rPr>
        <w:t>s se côtoyer, sur le marché, de</w:t>
      </w:r>
      <w:r w:rsidR="00955AC3">
        <w:rPr>
          <w:rFonts w:ascii="Arial" w:hAnsi="Arial" w:cs="Arial"/>
          <w:sz w:val="24"/>
          <w:szCs w:val="24"/>
        </w:rPr>
        <w:t xml:space="preserve">s entreprises à capital relativement fermé </w:t>
      </w:r>
      <w:r w:rsidR="000A1AFC">
        <w:rPr>
          <w:rFonts w:ascii="Arial" w:hAnsi="Arial" w:cs="Arial"/>
          <w:sz w:val="24"/>
          <w:szCs w:val="24"/>
        </w:rPr>
        <w:t>peu acces</w:t>
      </w:r>
      <w:r w:rsidR="00DE1A4B">
        <w:rPr>
          <w:rFonts w:ascii="Arial" w:hAnsi="Arial" w:cs="Arial"/>
          <w:sz w:val="24"/>
          <w:szCs w:val="24"/>
        </w:rPr>
        <w:t xml:space="preserve">sible </w:t>
      </w:r>
      <w:r w:rsidR="008679D5">
        <w:rPr>
          <w:rFonts w:ascii="Arial" w:hAnsi="Arial" w:cs="Arial"/>
          <w:sz w:val="24"/>
          <w:szCs w:val="24"/>
        </w:rPr>
        <w:t xml:space="preserve">aux institutionnels </w:t>
      </w:r>
      <w:r w:rsidR="009B709B">
        <w:rPr>
          <w:rFonts w:ascii="Arial" w:hAnsi="Arial" w:cs="Arial"/>
          <w:sz w:val="24"/>
          <w:szCs w:val="24"/>
        </w:rPr>
        <w:t xml:space="preserve">et à </w:t>
      </w:r>
      <w:r w:rsidR="006079CB">
        <w:rPr>
          <w:rFonts w:ascii="Arial" w:hAnsi="Arial" w:cs="Arial"/>
          <w:sz w:val="24"/>
          <w:szCs w:val="24"/>
        </w:rPr>
        <w:t xml:space="preserve">style de </w:t>
      </w:r>
      <w:r w:rsidR="009B709B">
        <w:rPr>
          <w:rFonts w:ascii="Arial" w:hAnsi="Arial" w:cs="Arial"/>
          <w:sz w:val="24"/>
          <w:szCs w:val="24"/>
        </w:rPr>
        <w:t>gestion c</w:t>
      </w:r>
      <w:r w:rsidR="000A1AFC">
        <w:rPr>
          <w:rFonts w:ascii="Arial" w:hAnsi="Arial" w:cs="Arial"/>
          <w:sz w:val="24"/>
          <w:szCs w:val="24"/>
        </w:rPr>
        <w:t>onservat</w:t>
      </w:r>
      <w:r w:rsidR="006079CB">
        <w:rPr>
          <w:rFonts w:ascii="Arial" w:hAnsi="Arial" w:cs="Arial"/>
          <w:sz w:val="24"/>
          <w:szCs w:val="24"/>
        </w:rPr>
        <w:t>eur</w:t>
      </w:r>
      <w:r w:rsidR="00955AC3">
        <w:rPr>
          <w:rFonts w:ascii="Arial" w:hAnsi="Arial" w:cs="Arial"/>
          <w:sz w:val="24"/>
          <w:szCs w:val="24"/>
        </w:rPr>
        <w:t xml:space="preserve"> </w:t>
      </w:r>
      <w:r w:rsidR="008679D5">
        <w:rPr>
          <w:rFonts w:ascii="Arial" w:hAnsi="Arial" w:cs="Arial"/>
          <w:sz w:val="24"/>
          <w:szCs w:val="24"/>
        </w:rPr>
        <w:t>ainsi que</w:t>
      </w:r>
      <w:r w:rsidR="003A0F38">
        <w:rPr>
          <w:rFonts w:ascii="Arial" w:hAnsi="Arial" w:cs="Arial"/>
          <w:sz w:val="24"/>
          <w:szCs w:val="24"/>
        </w:rPr>
        <w:t xml:space="preserve"> des entreprises à capital ouvert</w:t>
      </w:r>
      <w:r w:rsidR="00167784">
        <w:rPr>
          <w:rFonts w:ascii="Arial" w:hAnsi="Arial" w:cs="Arial"/>
          <w:sz w:val="24"/>
          <w:szCs w:val="24"/>
        </w:rPr>
        <w:t xml:space="preserve"> </w:t>
      </w:r>
      <w:r w:rsidR="00DE1A4B">
        <w:rPr>
          <w:rFonts w:ascii="Arial" w:hAnsi="Arial" w:cs="Arial"/>
          <w:sz w:val="24"/>
          <w:szCs w:val="24"/>
        </w:rPr>
        <w:t xml:space="preserve">au sein desquelles des mesures de renouvèlement des frontières stratégiques </w:t>
      </w:r>
      <w:r w:rsidR="000865A6">
        <w:rPr>
          <w:rFonts w:ascii="Arial" w:hAnsi="Arial" w:cs="Arial"/>
          <w:sz w:val="24"/>
          <w:szCs w:val="24"/>
        </w:rPr>
        <w:t>seraient plus facilement envisageables.</w:t>
      </w:r>
      <w:r w:rsidR="00B65211">
        <w:rPr>
          <w:rFonts w:ascii="Arial" w:hAnsi="Arial" w:cs="Arial"/>
          <w:sz w:val="24"/>
          <w:szCs w:val="24"/>
        </w:rPr>
        <w:t xml:space="preserve"> </w:t>
      </w:r>
      <w:r w:rsidR="00CC3B84">
        <w:rPr>
          <w:rFonts w:ascii="Arial" w:hAnsi="Arial" w:cs="Arial"/>
          <w:sz w:val="24"/>
          <w:szCs w:val="24"/>
        </w:rPr>
        <w:t>Les positionnements institutionnels s’effectuent généralement dans des contextes actionnariaux qui leur sont acquis</w:t>
      </w:r>
      <w:r w:rsidR="00B524D4">
        <w:rPr>
          <w:rFonts w:ascii="Arial" w:hAnsi="Arial" w:cs="Arial"/>
          <w:sz w:val="24"/>
          <w:szCs w:val="24"/>
        </w:rPr>
        <w:t xml:space="preserve"> où ils peuvent en toute quiétude </w:t>
      </w:r>
      <w:r w:rsidR="00853404">
        <w:rPr>
          <w:rFonts w:ascii="Arial" w:hAnsi="Arial" w:cs="Arial"/>
          <w:sz w:val="24"/>
          <w:szCs w:val="24"/>
        </w:rPr>
        <w:t>exercer</w:t>
      </w:r>
      <w:r w:rsidR="00B524D4">
        <w:rPr>
          <w:rFonts w:ascii="Arial" w:hAnsi="Arial" w:cs="Arial"/>
          <w:sz w:val="24"/>
          <w:szCs w:val="24"/>
        </w:rPr>
        <w:t xml:space="preserve"> leur activisme et proposer des révisions plus ou moins importantes des contours stratégiques des entreprises.</w:t>
      </w:r>
      <w:r w:rsidR="00853404">
        <w:rPr>
          <w:rFonts w:ascii="Arial" w:hAnsi="Arial" w:cs="Arial"/>
          <w:sz w:val="24"/>
          <w:szCs w:val="24"/>
        </w:rPr>
        <w:t xml:space="preserve"> L’évolution actuelle tend à démontrer que les investisseurs institutionnels</w:t>
      </w:r>
      <w:r w:rsidR="00875926">
        <w:rPr>
          <w:rFonts w:ascii="Arial" w:hAnsi="Arial" w:cs="Arial"/>
          <w:sz w:val="24"/>
          <w:szCs w:val="24"/>
        </w:rPr>
        <w:t xml:space="preserve"> pénètrent également des structures de propriété d’entreprises familiales peu préparées à ce type d’actionnariat et réticentes à modifier leur style de gestion.</w:t>
      </w:r>
      <w:r w:rsidR="00511B76">
        <w:rPr>
          <w:rFonts w:ascii="Arial" w:hAnsi="Arial" w:cs="Arial"/>
          <w:sz w:val="24"/>
          <w:szCs w:val="24"/>
        </w:rPr>
        <w:t xml:space="preserve"> En prenant appui sur l’analyse de deux entreprises à </w:t>
      </w:r>
      <w:r w:rsidR="009D49C3">
        <w:rPr>
          <w:rFonts w:ascii="Arial" w:hAnsi="Arial" w:cs="Arial"/>
          <w:sz w:val="24"/>
          <w:szCs w:val="24"/>
        </w:rPr>
        <w:t xml:space="preserve">contours capitalistiques </w:t>
      </w:r>
      <w:r w:rsidR="00315065">
        <w:rPr>
          <w:rFonts w:ascii="Arial" w:hAnsi="Arial" w:cs="Arial"/>
          <w:sz w:val="24"/>
          <w:szCs w:val="24"/>
        </w:rPr>
        <w:t xml:space="preserve">différents et deux institutionnels </w:t>
      </w:r>
      <w:r w:rsidR="003064C7">
        <w:rPr>
          <w:rFonts w:ascii="Arial" w:hAnsi="Arial" w:cs="Arial"/>
          <w:sz w:val="24"/>
          <w:szCs w:val="24"/>
        </w:rPr>
        <w:t xml:space="preserve">distincts </w:t>
      </w:r>
      <w:r w:rsidR="009D49C3">
        <w:rPr>
          <w:rFonts w:ascii="Arial" w:hAnsi="Arial" w:cs="Arial"/>
          <w:sz w:val="24"/>
          <w:szCs w:val="24"/>
        </w:rPr>
        <w:t xml:space="preserve">– une structure de propriété ouverte </w:t>
      </w:r>
      <w:r w:rsidR="003064C7">
        <w:rPr>
          <w:rFonts w:ascii="Arial" w:hAnsi="Arial" w:cs="Arial"/>
          <w:sz w:val="24"/>
          <w:szCs w:val="24"/>
        </w:rPr>
        <w:t xml:space="preserve">soumise à l’activisme de </w:t>
      </w:r>
      <w:proofErr w:type="spellStart"/>
      <w:r w:rsidR="003064C7">
        <w:rPr>
          <w:rFonts w:ascii="Arial" w:hAnsi="Arial" w:cs="Arial"/>
          <w:sz w:val="24"/>
          <w:szCs w:val="24"/>
        </w:rPr>
        <w:t>Colony</w:t>
      </w:r>
      <w:proofErr w:type="spellEnd"/>
      <w:r w:rsidR="003064C7">
        <w:rPr>
          <w:rFonts w:ascii="Arial" w:hAnsi="Arial" w:cs="Arial"/>
          <w:sz w:val="24"/>
          <w:szCs w:val="24"/>
        </w:rPr>
        <w:t xml:space="preserve"> Capital </w:t>
      </w:r>
      <w:r w:rsidR="009D49C3">
        <w:rPr>
          <w:rFonts w:ascii="Arial" w:hAnsi="Arial" w:cs="Arial"/>
          <w:sz w:val="24"/>
          <w:szCs w:val="24"/>
        </w:rPr>
        <w:t>(le groupe ACCOR) et une structure de propriété fermée</w:t>
      </w:r>
      <w:r w:rsidR="00FC09B4">
        <w:rPr>
          <w:rFonts w:ascii="Arial" w:hAnsi="Arial" w:cs="Arial"/>
          <w:sz w:val="24"/>
          <w:szCs w:val="24"/>
        </w:rPr>
        <w:t xml:space="preserve"> </w:t>
      </w:r>
      <w:r w:rsidR="003064C7">
        <w:rPr>
          <w:rFonts w:ascii="Arial" w:hAnsi="Arial" w:cs="Arial"/>
          <w:sz w:val="24"/>
          <w:szCs w:val="24"/>
        </w:rPr>
        <w:t xml:space="preserve">soumise </w:t>
      </w:r>
      <w:r w:rsidR="00E00658">
        <w:rPr>
          <w:rFonts w:ascii="Arial" w:hAnsi="Arial" w:cs="Arial"/>
          <w:sz w:val="24"/>
          <w:szCs w:val="24"/>
        </w:rPr>
        <w:t xml:space="preserve">à l’activisme d’Amber </w:t>
      </w:r>
      <w:r w:rsidR="00FC09B4">
        <w:rPr>
          <w:rFonts w:ascii="Arial" w:hAnsi="Arial" w:cs="Arial"/>
          <w:sz w:val="24"/>
          <w:szCs w:val="24"/>
        </w:rPr>
        <w:t>(le groupe Lagardère)</w:t>
      </w:r>
      <w:r w:rsidR="00002520">
        <w:rPr>
          <w:rFonts w:ascii="Arial" w:hAnsi="Arial" w:cs="Arial"/>
          <w:sz w:val="24"/>
          <w:szCs w:val="24"/>
        </w:rPr>
        <w:t xml:space="preserve"> - </w:t>
      </w:r>
      <w:r w:rsidR="00FC09B4">
        <w:rPr>
          <w:rFonts w:ascii="Arial" w:hAnsi="Arial" w:cs="Arial"/>
          <w:sz w:val="24"/>
          <w:szCs w:val="24"/>
        </w:rPr>
        <w:t xml:space="preserve">, nous démontrons que l’exercice activiste </w:t>
      </w:r>
      <w:r w:rsidR="005E3D0D">
        <w:rPr>
          <w:rFonts w:ascii="Arial" w:hAnsi="Arial" w:cs="Arial"/>
          <w:sz w:val="24"/>
          <w:szCs w:val="24"/>
        </w:rPr>
        <w:t xml:space="preserve">(et les manœuvres induites) </w:t>
      </w:r>
      <w:r w:rsidR="00FC09B4">
        <w:rPr>
          <w:rFonts w:ascii="Arial" w:hAnsi="Arial" w:cs="Arial"/>
          <w:sz w:val="24"/>
          <w:szCs w:val="24"/>
        </w:rPr>
        <w:t>des institutionnels</w:t>
      </w:r>
      <w:r w:rsidR="00470A2C">
        <w:rPr>
          <w:rFonts w:ascii="Arial" w:hAnsi="Arial" w:cs="Arial"/>
          <w:sz w:val="24"/>
          <w:szCs w:val="24"/>
        </w:rPr>
        <w:t xml:space="preserve"> présente</w:t>
      </w:r>
      <w:r w:rsidR="005E3D0D">
        <w:rPr>
          <w:rFonts w:ascii="Arial" w:hAnsi="Arial" w:cs="Arial"/>
          <w:sz w:val="24"/>
          <w:szCs w:val="24"/>
        </w:rPr>
        <w:t>nt</w:t>
      </w:r>
      <w:r w:rsidR="00470A2C">
        <w:rPr>
          <w:rFonts w:ascii="Arial" w:hAnsi="Arial" w:cs="Arial"/>
          <w:sz w:val="24"/>
          <w:szCs w:val="24"/>
        </w:rPr>
        <w:t xml:space="preserve"> des niveaux </w:t>
      </w:r>
      <w:r w:rsidR="00E26654">
        <w:rPr>
          <w:rFonts w:ascii="Arial" w:hAnsi="Arial" w:cs="Arial"/>
          <w:sz w:val="24"/>
          <w:szCs w:val="24"/>
        </w:rPr>
        <w:t xml:space="preserve">élevés </w:t>
      </w:r>
      <w:r w:rsidR="00470A2C">
        <w:rPr>
          <w:rFonts w:ascii="Arial" w:hAnsi="Arial" w:cs="Arial"/>
          <w:sz w:val="24"/>
          <w:szCs w:val="24"/>
        </w:rPr>
        <w:t xml:space="preserve">de similitude </w:t>
      </w:r>
      <w:r w:rsidR="00546DD4">
        <w:rPr>
          <w:rFonts w:ascii="Arial" w:hAnsi="Arial" w:cs="Arial"/>
          <w:sz w:val="24"/>
          <w:szCs w:val="24"/>
        </w:rPr>
        <w:t xml:space="preserve">quel que soit le contexte étudié </w:t>
      </w:r>
      <w:r w:rsidR="00470A2C">
        <w:rPr>
          <w:rFonts w:ascii="Arial" w:hAnsi="Arial" w:cs="Arial"/>
          <w:sz w:val="24"/>
          <w:szCs w:val="24"/>
        </w:rPr>
        <w:t xml:space="preserve">(agissement en partenariat avec d’autres actionnaires, </w:t>
      </w:r>
      <w:r w:rsidR="00636989">
        <w:rPr>
          <w:rFonts w:ascii="Arial" w:hAnsi="Arial" w:cs="Arial"/>
          <w:sz w:val="24"/>
          <w:szCs w:val="24"/>
        </w:rPr>
        <w:t>focalisation sur des modifications de la gouvernance</w:t>
      </w:r>
      <w:r w:rsidR="00A8723D">
        <w:rPr>
          <w:rFonts w:ascii="Arial" w:hAnsi="Arial" w:cs="Arial"/>
          <w:sz w:val="24"/>
          <w:szCs w:val="24"/>
        </w:rPr>
        <w:t>, objectif de démantèlement de l’entreprise</w:t>
      </w:r>
      <w:r w:rsidR="00C86B52">
        <w:rPr>
          <w:rFonts w:ascii="Arial" w:hAnsi="Arial" w:cs="Arial"/>
          <w:sz w:val="24"/>
          <w:szCs w:val="24"/>
        </w:rPr>
        <w:t xml:space="preserve">, des horizons temporels </w:t>
      </w:r>
      <w:r w:rsidR="00B54655">
        <w:rPr>
          <w:rFonts w:ascii="Arial" w:hAnsi="Arial" w:cs="Arial"/>
          <w:sz w:val="24"/>
          <w:szCs w:val="24"/>
        </w:rPr>
        <w:t>relativement courts pour l</w:t>
      </w:r>
      <w:r w:rsidR="00C86B52">
        <w:rPr>
          <w:rFonts w:ascii="Arial" w:hAnsi="Arial" w:cs="Arial"/>
          <w:sz w:val="24"/>
          <w:szCs w:val="24"/>
        </w:rPr>
        <w:t>’</w:t>
      </w:r>
      <w:r w:rsidR="00B54655">
        <w:rPr>
          <w:rFonts w:ascii="Arial" w:hAnsi="Arial" w:cs="Arial"/>
          <w:sz w:val="24"/>
          <w:szCs w:val="24"/>
        </w:rPr>
        <w:t>opérationnalisation de l’activisme</w:t>
      </w:r>
      <w:r w:rsidR="00A8723D">
        <w:rPr>
          <w:rFonts w:ascii="Arial" w:hAnsi="Arial" w:cs="Arial"/>
          <w:sz w:val="24"/>
          <w:szCs w:val="24"/>
        </w:rPr>
        <w:t>)</w:t>
      </w:r>
      <w:r w:rsidR="00546DD4">
        <w:rPr>
          <w:rFonts w:ascii="Arial" w:hAnsi="Arial" w:cs="Arial"/>
          <w:sz w:val="24"/>
          <w:szCs w:val="24"/>
        </w:rPr>
        <w:t xml:space="preserve">. </w:t>
      </w:r>
      <w:r w:rsidR="003944AD">
        <w:rPr>
          <w:rFonts w:ascii="Arial" w:hAnsi="Arial" w:cs="Arial"/>
          <w:sz w:val="24"/>
          <w:szCs w:val="24"/>
        </w:rPr>
        <w:t xml:space="preserve">Ce résultat </w:t>
      </w:r>
      <w:r w:rsidR="00FC64A6">
        <w:rPr>
          <w:rFonts w:ascii="Arial" w:hAnsi="Arial" w:cs="Arial"/>
          <w:sz w:val="24"/>
          <w:szCs w:val="24"/>
        </w:rPr>
        <w:t xml:space="preserve">nous permet d’avancer que </w:t>
      </w:r>
      <w:r w:rsidR="006705B4">
        <w:rPr>
          <w:rFonts w:ascii="Arial" w:hAnsi="Arial" w:cs="Arial"/>
          <w:sz w:val="24"/>
          <w:szCs w:val="24"/>
        </w:rPr>
        <w:t>la pression institutionnelle suit une procédure relativement logique et indifférente aux contextes actionnariaux.</w:t>
      </w:r>
      <w:r w:rsidR="00194275">
        <w:rPr>
          <w:rFonts w:ascii="Arial" w:hAnsi="Arial" w:cs="Arial"/>
          <w:sz w:val="24"/>
          <w:szCs w:val="24"/>
        </w:rPr>
        <w:t xml:space="preserve"> Il est bien évident que </w:t>
      </w:r>
      <w:r w:rsidR="00E65529">
        <w:rPr>
          <w:rFonts w:ascii="Arial" w:hAnsi="Arial" w:cs="Arial"/>
          <w:sz w:val="24"/>
          <w:szCs w:val="24"/>
        </w:rPr>
        <w:t>les résistances sont plus nombreuses dans des environnements fermés</w:t>
      </w:r>
      <w:r w:rsidR="005B417D">
        <w:rPr>
          <w:rFonts w:ascii="Arial" w:hAnsi="Arial" w:cs="Arial"/>
          <w:sz w:val="24"/>
          <w:szCs w:val="24"/>
        </w:rPr>
        <w:t xml:space="preserve"> et, dans cette logique, n</w:t>
      </w:r>
      <w:r w:rsidR="00FC6DE9">
        <w:rPr>
          <w:rFonts w:ascii="Arial" w:hAnsi="Arial" w:cs="Arial"/>
          <w:sz w:val="24"/>
          <w:szCs w:val="24"/>
        </w:rPr>
        <w:t xml:space="preserve">ous démontrons que la capacité à faire bouger les lignes à l’intérieur de l’entreprise contrôlée dépend fortement </w:t>
      </w:r>
      <w:r w:rsidR="00F35648">
        <w:rPr>
          <w:rFonts w:ascii="Arial" w:hAnsi="Arial" w:cs="Arial"/>
          <w:sz w:val="24"/>
          <w:szCs w:val="24"/>
        </w:rPr>
        <w:t xml:space="preserve">de la facilité avec laquelle l’investisseur institutionnel </w:t>
      </w:r>
      <w:r w:rsidR="00C958B3">
        <w:rPr>
          <w:rFonts w:ascii="Arial" w:hAnsi="Arial" w:cs="Arial"/>
          <w:sz w:val="24"/>
          <w:szCs w:val="24"/>
        </w:rPr>
        <w:t xml:space="preserve">peut se coaliser avec d’autres actionnaires </w:t>
      </w:r>
      <w:r w:rsidR="00194275">
        <w:rPr>
          <w:rFonts w:ascii="Arial" w:hAnsi="Arial" w:cs="Arial"/>
          <w:sz w:val="24"/>
          <w:szCs w:val="24"/>
        </w:rPr>
        <w:t>présents dans le capital.</w:t>
      </w:r>
      <w:r w:rsidR="009D061D">
        <w:rPr>
          <w:rFonts w:ascii="Arial" w:hAnsi="Arial" w:cs="Arial"/>
          <w:sz w:val="24"/>
          <w:szCs w:val="24"/>
        </w:rPr>
        <w:t xml:space="preserve"> </w:t>
      </w:r>
      <w:r w:rsidR="00D26138">
        <w:rPr>
          <w:rFonts w:ascii="Arial" w:hAnsi="Arial" w:cs="Arial"/>
          <w:sz w:val="24"/>
          <w:szCs w:val="24"/>
        </w:rPr>
        <w:t xml:space="preserve">Les relais </w:t>
      </w:r>
      <w:r w:rsidR="009A7371">
        <w:rPr>
          <w:rFonts w:ascii="Arial" w:hAnsi="Arial" w:cs="Arial"/>
          <w:sz w:val="24"/>
          <w:szCs w:val="24"/>
        </w:rPr>
        <w:t>dans des</w:t>
      </w:r>
      <w:r w:rsidR="00D26138">
        <w:rPr>
          <w:rFonts w:ascii="Arial" w:hAnsi="Arial" w:cs="Arial"/>
          <w:sz w:val="24"/>
          <w:szCs w:val="24"/>
        </w:rPr>
        <w:t xml:space="preserve"> réseaux politiques et économiques</w:t>
      </w:r>
      <w:r w:rsidR="009A7371">
        <w:rPr>
          <w:rFonts w:ascii="Arial" w:hAnsi="Arial" w:cs="Arial"/>
          <w:sz w:val="24"/>
          <w:szCs w:val="24"/>
        </w:rPr>
        <w:t xml:space="preserve"> acquis </w:t>
      </w:r>
      <w:r w:rsidR="00D815BF">
        <w:rPr>
          <w:rFonts w:ascii="Arial" w:hAnsi="Arial" w:cs="Arial"/>
          <w:sz w:val="24"/>
          <w:szCs w:val="24"/>
        </w:rPr>
        <w:t xml:space="preserve">ou à tout le moins peu réfractaires </w:t>
      </w:r>
      <w:r w:rsidR="009A7371">
        <w:rPr>
          <w:rFonts w:ascii="Arial" w:hAnsi="Arial" w:cs="Arial"/>
          <w:sz w:val="24"/>
          <w:szCs w:val="24"/>
        </w:rPr>
        <w:t>constitueraient également un point d’appui central pour l’exercice activiste.</w:t>
      </w:r>
      <w:r w:rsidR="00D26138">
        <w:rPr>
          <w:rFonts w:ascii="Arial" w:hAnsi="Arial" w:cs="Arial"/>
          <w:sz w:val="24"/>
          <w:szCs w:val="24"/>
        </w:rPr>
        <w:t xml:space="preserve"> </w:t>
      </w:r>
    </w:p>
    <w:p w14:paraId="5D4A5B3F" w14:textId="35D27C90" w:rsidR="005B417D" w:rsidRPr="00E86D2A" w:rsidRDefault="009D061D" w:rsidP="00AD76A3">
      <w:pPr>
        <w:spacing w:line="240" w:lineRule="auto"/>
        <w:ind w:left="360"/>
        <w:jc w:val="both"/>
        <w:rPr>
          <w:rFonts w:ascii="Arial" w:hAnsi="Arial" w:cs="Arial"/>
          <w:sz w:val="24"/>
          <w:szCs w:val="24"/>
        </w:rPr>
      </w:pPr>
      <w:r>
        <w:rPr>
          <w:rFonts w:ascii="Arial" w:hAnsi="Arial" w:cs="Arial"/>
          <w:sz w:val="24"/>
          <w:szCs w:val="24"/>
        </w:rPr>
        <w:t xml:space="preserve">Au niveau des limites, cette étude ne porte que sur deux entreprises soumises à </w:t>
      </w:r>
      <w:r w:rsidR="00CA6670">
        <w:rPr>
          <w:rFonts w:ascii="Arial" w:hAnsi="Arial" w:cs="Arial"/>
          <w:sz w:val="24"/>
          <w:szCs w:val="24"/>
        </w:rPr>
        <w:t>de l’</w:t>
      </w:r>
      <w:r>
        <w:rPr>
          <w:rFonts w:ascii="Arial" w:hAnsi="Arial" w:cs="Arial"/>
          <w:sz w:val="24"/>
          <w:szCs w:val="24"/>
        </w:rPr>
        <w:t>activisme institutionnel sur un marché bien déterminé</w:t>
      </w:r>
      <w:r w:rsidR="00215DD8">
        <w:rPr>
          <w:rFonts w:ascii="Arial" w:hAnsi="Arial" w:cs="Arial"/>
          <w:sz w:val="24"/>
          <w:szCs w:val="24"/>
        </w:rPr>
        <w:t xml:space="preserve"> et donc un processus de généralisation </w:t>
      </w:r>
      <w:r w:rsidR="001B4165">
        <w:rPr>
          <w:rFonts w:ascii="Arial" w:hAnsi="Arial" w:cs="Arial"/>
          <w:sz w:val="24"/>
          <w:szCs w:val="24"/>
        </w:rPr>
        <w:t>s’avère grandement délicat</w:t>
      </w:r>
      <w:r>
        <w:rPr>
          <w:rFonts w:ascii="Arial" w:hAnsi="Arial" w:cs="Arial"/>
          <w:sz w:val="24"/>
          <w:szCs w:val="24"/>
        </w:rPr>
        <w:t>.</w:t>
      </w:r>
      <w:r w:rsidR="00CA6670">
        <w:rPr>
          <w:rFonts w:ascii="Arial" w:hAnsi="Arial" w:cs="Arial"/>
          <w:sz w:val="24"/>
          <w:szCs w:val="24"/>
        </w:rPr>
        <w:t xml:space="preserve"> Afin de consolider nos résultats, il serait pertinent de répliquer l’analyse en recourant à un échantillon d’entreprises soumises à </w:t>
      </w:r>
      <w:r w:rsidR="00617268">
        <w:rPr>
          <w:rFonts w:ascii="Arial" w:hAnsi="Arial" w:cs="Arial"/>
          <w:sz w:val="24"/>
          <w:szCs w:val="24"/>
        </w:rPr>
        <w:t>de l’</w:t>
      </w:r>
      <w:r w:rsidR="00CA6670">
        <w:rPr>
          <w:rFonts w:ascii="Arial" w:hAnsi="Arial" w:cs="Arial"/>
          <w:sz w:val="24"/>
          <w:szCs w:val="24"/>
        </w:rPr>
        <w:t xml:space="preserve">activisme </w:t>
      </w:r>
      <w:r w:rsidR="00E60397">
        <w:rPr>
          <w:rFonts w:ascii="Arial" w:hAnsi="Arial" w:cs="Arial"/>
          <w:sz w:val="24"/>
          <w:szCs w:val="24"/>
        </w:rPr>
        <w:t xml:space="preserve">pour, en fin de compte, déboucher sur une classification de </w:t>
      </w:r>
      <w:r w:rsidR="00617268">
        <w:rPr>
          <w:rFonts w:ascii="Arial" w:hAnsi="Arial" w:cs="Arial"/>
          <w:sz w:val="24"/>
          <w:szCs w:val="24"/>
        </w:rPr>
        <w:t>celui-ci</w:t>
      </w:r>
      <w:r w:rsidR="00E60397">
        <w:rPr>
          <w:rFonts w:ascii="Arial" w:hAnsi="Arial" w:cs="Arial"/>
          <w:sz w:val="24"/>
          <w:szCs w:val="24"/>
        </w:rPr>
        <w:t xml:space="preserve"> en fonction de di</w:t>
      </w:r>
      <w:r w:rsidR="00FA4DDE">
        <w:rPr>
          <w:rFonts w:ascii="Arial" w:hAnsi="Arial" w:cs="Arial"/>
          <w:sz w:val="24"/>
          <w:szCs w:val="24"/>
        </w:rPr>
        <w:t xml:space="preserve">fférents paramètres caractérisant tant les entreprises </w:t>
      </w:r>
      <w:r w:rsidR="002914CA">
        <w:rPr>
          <w:rFonts w:ascii="Arial" w:hAnsi="Arial" w:cs="Arial"/>
          <w:sz w:val="24"/>
          <w:szCs w:val="24"/>
        </w:rPr>
        <w:t xml:space="preserve">contrôlées </w:t>
      </w:r>
      <w:r w:rsidR="00FA4DDE">
        <w:rPr>
          <w:rFonts w:ascii="Arial" w:hAnsi="Arial" w:cs="Arial"/>
          <w:sz w:val="24"/>
          <w:szCs w:val="24"/>
        </w:rPr>
        <w:t>que les investisseurs institut</w:t>
      </w:r>
      <w:r w:rsidR="005C0C52">
        <w:rPr>
          <w:rFonts w:ascii="Arial" w:hAnsi="Arial" w:cs="Arial"/>
          <w:sz w:val="24"/>
          <w:szCs w:val="24"/>
        </w:rPr>
        <w:t>ionnels</w:t>
      </w:r>
      <w:r w:rsidR="00617268">
        <w:rPr>
          <w:rFonts w:ascii="Arial" w:hAnsi="Arial" w:cs="Arial"/>
          <w:sz w:val="24"/>
          <w:szCs w:val="24"/>
        </w:rPr>
        <w:t>.</w:t>
      </w:r>
    </w:p>
    <w:p w14:paraId="0F50A03B" w14:textId="414549B6" w:rsidR="0011556E" w:rsidRDefault="002D0540" w:rsidP="005C2A31">
      <w:pPr>
        <w:pStyle w:val="Paragraphedeliste"/>
        <w:numPr>
          <w:ilvl w:val="0"/>
          <w:numId w:val="1"/>
        </w:numPr>
        <w:spacing w:line="240" w:lineRule="auto"/>
        <w:jc w:val="both"/>
        <w:rPr>
          <w:rFonts w:ascii="Arial" w:hAnsi="Arial" w:cs="Arial"/>
          <w:sz w:val="28"/>
          <w:szCs w:val="28"/>
          <w:u w:val="single"/>
        </w:rPr>
      </w:pPr>
      <w:r>
        <w:rPr>
          <w:rFonts w:ascii="Arial" w:hAnsi="Arial" w:cs="Arial"/>
          <w:sz w:val="28"/>
          <w:szCs w:val="28"/>
          <w:u w:val="single"/>
        </w:rPr>
        <w:t>Références bibliographiques</w:t>
      </w:r>
    </w:p>
    <w:p w14:paraId="4F3D276E" w14:textId="77777777" w:rsidR="00C8708A" w:rsidRDefault="00C8708A" w:rsidP="00C8708A">
      <w:pPr>
        <w:pStyle w:val="Paragraphedeliste"/>
        <w:spacing w:line="240" w:lineRule="auto"/>
        <w:jc w:val="both"/>
        <w:rPr>
          <w:rFonts w:ascii="Arial" w:hAnsi="Arial" w:cs="Arial"/>
          <w:sz w:val="28"/>
          <w:szCs w:val="28"/>
          <w:u w:val="single"/>
        </w:rPr>
      </w:pPr>
    </w:p>
    <w:p w14:paraId="5D34D322" w14:textId="6F627F5D" w:rsidR="003D56EF" w:rsidRDefault="003D56EF" w:rsidP="00C8708A">
      <w:pPr>
        <w:pStyle w:val="Paragraphedeliste"/>
        <w:numPr>
          <w:ilvl w:val="0"/>
          <w:numId w:val="5"/>
        </w:numPr>
        <w:spacing w:line="240" w:lineRule="auto"/>
        <w:jc w:val="both"/>
        <w:rPr>
          <w:rFonts w:ascii="Arial" w:hAnsi="Arial" w:cs="Arial"/>
          <w:sz w:val="24"/>
          <w:szCs w:val="24"/>
        </w:rPr>
      </w:pPr>
      <w:proofErr w:type="spellStart"/>
      <w:r w:rsidRPr="003D56EF">
        <w:rPr>
          <w:rFonts w:ascii="Arial" w:hAnsi="Arial" w:cs="Arial"/>
          <w:sz w:val="24"/>
          <w:szCs w:val="24"/>
        </w:rPr>
        <w:t>Aabo</w:t>
      </w:r>
      <w:proofErr w:type="spellEnd"/>
      <w:r w:rsidRPr="003D56EF">
        <w:rPr>
          <w:rFonts w:ascii="Arial" w:hAnsi="Arial" w:cs="Arial"/>
          <w:sz w:val="24"/>
          <w:szCs w:val="24"/>
        </w:rPr>
        <w:t xml:space="preserve"> T., Lee S., </w:t>
      </w:r>
      <w:proofErr w:type="spellStart"/>
      <w:r w:rsidRPr="003D56EF">
        <w:rPr>
          <w:rFonts w:ascii="Arial" w:hAnsi="Arial" w:cs="Arial"/>
          <w:sz w:val="24"/>
          <w:szCs w:val="24"/>
        </w:rPr>
        <w:t>Pantzalis</w:t>
      </w:r>
      <w:proofErr w:type="spellEnd"/>
      <w:r w:rsidRPr="003D56EF">
        <w:rPr>
          <w:rFonts w:ascii="Arial" w:hAnsi="Arial" w:cs="Arial"/>
          <w:sz w:val="24"/>
          <w:szCs w:val="24"/>
        </w:rPr>
        <w:t xml:space="preserve"> C., Park J. (2020)</w:t>
      </w:r>
      <w:r>
        <w:rPr>
          <w:rFonts w:ascii="Arial" w:hAnsi="Arial" w:cs="Arial"/>
          <w:sz w:val="24"/>
          <w:szCs w:val="24"/>
        </w:rPr>
        <w:t>, « </w:t>
      </w:r>
      <w:r w:rsidR="009109B4" w:rsidRPr="009109B4">
        <w:rPr>
          <w:rFonts w:ascii="Arial" w:hAnsi="Arial" w:cs="Arial"/>
          <w:sz w:val="24"/>
          <w:szCs w:val="24"/>
        </w:rPr>
        <w:t xml:space="preserve">Know </w:t>
      </w:r>
      <w:proofErr w:type="spellStart"/>
      <w:r w:rsidR="009109B4" w:rsidRPr="009109B4">
        <w:rPr>
          <w:rFonts w:ascii="Arial" w:hAnsi="Arial" w:cs="Arial"/>
          <w:sz w:val="24"/>
          <w:szCs w:val="24"/>
        </w:rPr>
        <w:t>thy</w:t>
      </w:r>
      <w:proofErr w:type="spellEnd"/>
      <w:r w:rsidR="009109B4" w:rsidRPr="009109B4">
        <w:rPr>
          <w:rFonts w:ascii="Arial" w:hAnsi="Arial" w:cs="Arial"/>
          <w:sz w:val="24"/>
          <w:szCs w:val="24"/>
        </w:rPr>
        <w:t xml:space="preserve"> </w:t>
      </w:r>
      <w:proofErr w:type="spellStart"/>
      <w:proofErr w:type="gramStart"/>
      <w:r w:rsidR="009109B4" w:rsidRPr="009109B4">
        <w:rPr>
          <w:rFonts w:ascii="Arial" w:hAnsi="Arial" w:cs="Arial"/>
          <w:sz w:val="24"/>
          <w:szCs w:val="24"/>
        </w:rPr>
        <w:t>neighbor</w:t>
      </w:r>
      <w:proofErr w:type="spellEnd"/>
      <w:r w:rsidR="009109B4" w:rsidRPr="009109B4">
        <w:rPr>
          <w:rFonts w:ascii="Arial" w:hAnsi="Arial" w:cs="Arial"/>
          <w:sz w:val="24"/>
          <w:szCs w:val="24"/>
        </w:rPr>
        <w:t>:</w:t>
      </w:r>
      <w:proofErr w:type="gramEnd"/>
      <w:r w:rsidR="009109B4" w:rsidRPr="009109B4">
        <w:rPr>
          <w:rFonts w:ascii="Arial" w:hAnsi="Arial" w:cs="Arial"/>
          <w:sz w:val="24"/>
          <w:szCs w:val="24"/>
        </w:rPr>
        <w:t xml:space="preserve"> </w:t>
      </w:r>
      <w:proofErr w:type="spellStart"/>
      <w:r w:rsidR="009109B4" w:rsidRPr="009109B4">
        <w:rPr>
          <w:rFonts w:ascii="Arial" w:hAnsi="Arial" w:cs="Arial"/>
          <w:sz w:val="24"/>
          <w:szCs w:val="24"/>
        </w:rPr>
        <w:t>Political</w:t>
      </w:r>
      <w:proofErr w:type="spellEnd"/>
      <w:r w:rsidR="009109B4" w:rsidRPr="009109B4">
        <w:rPr>
          <w:rFonts w:ascii="Arial" w:hAnsi="Arial" w:cs="Arial"/>
          <w:sz w:val="24"/>
          <w:szCs w:val="24"/>
        </w:rPr>
        <w:t xml:space="preserve"> </w:t>
      </w:r>
      <w:proofErr w:type="spellStart"/>
      <w:r w:rsidR="009109B4" w:rsidRPr="009109B4">
        <w:rPr>
          <w:rFonts w:ascii="Arial" w:hAnsi="Arial" w:cs="Arial"/>
          <w:sz w:val="24"/>
          <w:szCs w:val="24"/>
        </w:rPr>
        <w:t>uncertainty</w:t>
      </w:r>
      <w:proofErr w:type="spellEnd"/>
      <w:r w:rsidR="009109B4" w:rsidRPr="009109B4">
        <w:rPr>
          <w:rFonts w:ascii="Arial" w:hAnsi="Arial" w:cs="Arial"/>
          <w:sz w:val="24"/>
          <w:szCs w:val="24"/>
        </w:rPr>
        <w:t xml:space="preserve"> and the </w:t>
      </w:r>
      <w:proofErr w:type="spellStart"/>
      <w:r w:rsidR="009109B4" w:rsidRPr="009109B4">
        <w:rPr>
          <w:rFonts w:ascii="Arial" w:hAnsi="Arial" w:cs="Arial"/>
          <w:sz w:val="24"/>
          <w:szCs w:val="24"/>
        </w:rPr>
        <w:t>informational</w:t>
      </w:r>
      <w:proofErr w:type="spellEnd"/>
      <w:r w:rsidR="009109B4" w:rsidRPr="009109B4">
        <w:rPr>
          <w:rFonts w:ascii="Arial" w:hAnsi="Arial" w:cs="Arial"/>
          <w:sz w:val="24"/>
          <w:szCs w:val="24"/>
        </w:rPr>
        <w:t xml:space="preserve"> </w:t>
      </w:r>
      <w:proofErr w:type="spellStart"/>
      <w:r w:rsidR="009109B4" w:rsidRPr="009109B4">
        <w:rPr>
          <w:rFonts w:ascii="Arial" w:hAnsi="Arial" w:cs="Arial"/>
          <w:sz w:val="24"/>
          <w:szCs w:val="24"/>
        </w:rPr>
        <w:t>advantage</w:t>
      </w:r>
      <w:proofErr w:type="spellEnd"/>
      <w:r w:rsidR="009109B4" w:rsidRPr="009109B4">
        <w:rPr>
          <w:rFonts w:ascii="Arial" w:hAnsi="Arial" w:cs="Arial"/>
          <w:sz w:val="24"/>
          <w:szCs w:val="24"/>
        </w:rPr>
        <w:t xml:space="preserve"> of local </w:t>
      </w:r>
      <w:proofErr w:type="spellStart"/>
      <w:r w:rsidR="009109B4" w:rsidRPr="009109B4">
        <w:rPr>
          <w:rFonts w:ascii="Arial" w:hAnsi="Arial" w:cs="Arial"/>
          <w:sz w:val="24"/>
          <w:szCs w:val="24"/>
        </w:rPr>
        <w:t>institutional</w:t>
      </w:r>
      <w:proofErr w:type="spellEnd"/>
      <w:r w:rsidR="009109B4" w:rsidRPr="009109B4">
        <w:rPr>
          <w:rFonts w:ascii="Arial" w:hAnsi="Arial" w:cs="Arial"/>
          <w:sz w:val="24"/>
          <w:szCs w:val="24"/>
        </w:rPr>
        <w:t xml:space="preserve"> </w:t>
      </w:r>
      <w:proofErr w:type="spellStart"/>
      <w:r w:rsidR="009109B4" w:rsidRPr="009109B4">
        <w:rPr>
          <w:rFonts w:ascii="Arial" w:hAnsi="Arial" w:cs="Arial"/>
          <w:sz w:val="24"/>
          <w:szCs w:val="24"/>
        </w:rPr>
        <w:t>investors</w:t>
      </w:r>
      <w:proofErr w:type="spellEnd"/>
      <w:r w:rsidR="009109B4">
        <w:rPr>
          <w:rFonts w:ascii="Arial" w:hAnsi="Arial" w:cs="Arial"/>
          <w:sz w:val="24"/>
          <w:szCs w:val="24"/>
        </w:rPr>
        <w:t xml:space="preserve"> », </w:t>
      </w:r>
      <w:r w:rsidR="009109B4" w:rsidRPr="009109B4">
        <w:rPr>
          <w:rFonts w:ascii="Arial" w:hAnsi="Arial" w:cs="Arial"/>
          <w:i/>
          <w:iCs/>
          <w:sz w:val="24"/>
          <w:szCs w:val="24"/>
        </w:rPr>
        <w:t>Journal of Banking &amp; Finance</w:t>
      </w:r>
      <w:r w:rsidR="009109B4">
        <w:rPr>
          <w:rFonts w:ascii="Arial" w:hAnsi="Arial" w:cs="Arial"/>
          <w:sz w:val="24"/>
          <w:szCs w:val="24"/>
        </w:rPr>
        <w:t xml:space="preserve">, </w:t>
      </w:r>
      <w:r w:rsidR="00C71C60">
        <w:rPr>
          <w:rFonts w:ascii="Arial" w:hAnsi="Arial" w:cs="Arial"/>
          <w:sz w:val="24"/>
          <w:szCs w:val="24"/>
        </w:rPr>
        <w:t>Vol.113</w:t>
      </w:r>
    </w:p>
    <w:p w14:paraId="2CB8408C" w14:textId="71DB7936" w:rsidR="00986CE8" w:rsidRDefault="00986CE8" w:rsidP="00C8708A">
      <w:pPr>
        <w:pStyle w:val="Paragraphedeliste"/>
        <w:numPr>
          <w:ilvl w:val="0"/>
          <w:numId w:val="5"/>
        </w:numPr>
        <w:spacing w:line="240" w:lineRule="auto"/>
        <w:jc w:val="both"/>
        <w:rPr>
          <w:rFonts w:ascii="Arial" w:hAnsi="Arial" w:cs="Arial"/>
          <w:sz w:val="24"/>
          <w:szCs w:val="24"/>
        </w:rPr>
      </w:pPr>
      <w:r>
        <w:rPr>
          <w:rFonts w:ascii="Arial" w:hAnsi="Arial" w:cs="Arial"/>
          <w:sz w:val="24"/>
          <w:szCs w:val="24"/>
        </w:rPr>
        <w:t>Aiken A., Lee C. (2020), « </w:t>
      </w:r>
      <w:proofErr w:type="spellStart"/>
      <w:r w:rsidR="00CB0992" w:rsidRPr="00CB0992">
        <w:rPr>
          <w:rFonts w:ascii="Arial" w:hAnsi="Arial" w:cs="Arial"/>
          <w:sz w:val="24"/>
          <w:szCs w:val="24"/>
        </w:rPr>
        <w:t>Let's</w:t>
      </w:r>
      <w:proofErr w:type="spellEnd"/>
      <w:r w:rsidR="00CB0992" w:rsidRPr="00CB0992">
        <w:rPr>
          <w:rFonts w:ascii="Arial" w:hAnsi="Arial" w:cs="Arial"/>
          <w:sz w:val="24"/>
          <w:szCs w:val="24"/>
        </w:rPr>
        <w:t xml:space="preserve"> talk </w:t>
      </w:r>
      <w:proofErr w:type="spellStart"/>
      <w:r w:rsidR="00CB0992" w:rsidRPr="00CB0992">
        <w:rPr>
          <w:rFonts w:ascii="Arial" w:hAnsi="Arial" w:cs="Arial"/>
          <w:sz w:val="24"/>
          <w:szCs w:val="24"/>
        </w:rPr>
        <w:t>sooner</w:t>
      </w:r>
      <w:proofErr w:type="spellEnd"/>
      <w:r w:rsidR="00CB0992" w:rsidRPr="00CB0992">
        <w:rPr>
          <w:rFonts w:ascii="Arial" w:hAnsi="Arial" w:cs="Arial"/>
          <w:sz w:val="24"/>
          <w:szCs w:val="24"/>
        </w:rPr>
        <w:t xml:space="preserve"> </w:t>
      </w:r>
      <w:proofErr w:type="spellStart"/>
      <w:r w:rsidR="00CB0992" w:rsidRPr="00CB0992">
        <w:rPr>
          <w:rFonts w:ascii="Arial" w:hAnsi="Arial" w:cs="Arial"/>
          <w:sz w:val="24"/>
          <w:szCs w:val="24"/>
        </w:rPr>
        <w:t>rather</w:t>
      </w:r>
      <w:proofErr w:type="spellEnd"/>
      <w:r w:rsidR="00CB0992" w:rsidRPr="00CB0992">
        <w:rPr>
          <w:rFonts w:ascii="Arial" w:hAnsi="Arial" w:cs="Arial"/>
          <w:sz w:val="24"/>
          <w:szCs w:val="24"/>
        </w:rPr>
        <w:t xml:space="preserve"> </w:t>
      </w:r>
      <w:proofErr w:type="spellStart"/>
      <w:r w:rsidR="00CB0992" w:rsidRPr="00CB0992">
        <w:rPr>
          <w:rFonts w:ascii="Arial" w:hAnsi="Arial" w:cs="Arial"/>
          <w:sz w:val="24"/>
          <w:szCs w:val="24"/>
        </w:rPr>
        <w:t>than</w:t>
      </w:r>
      <w:proofErr w:type="spellEnd"/>
      <w:r w:rsidR="00CB0992" w:rsidRPr="00CB0992">
        <w:rPr>
          <w:rFonts w:ascii="Arial" w:hAnsi="Arial" w:cs="Arial"/>
          <w:sz w:val="24"/>
          <w:szCs w:val="24"/>
        </w:rPr>
        <w:t xml:space="preserve"> </w:t>
      </w:r>
      <w:proofErr w:type="spellStart"/>
      <w:proofErr w:type="gramStart"/>
      <w:r w:rsidR="00CB0992" w:rsidRPr="00CB0992">
        <w:rPr>
          <w:rFonts w:ascii="Arial" w:hAnsi="Arial" w:cs="Arial"/>
          <w:sz w:val="24"/>
          <w:szCs w:val="24"/>
        </w:rPr>
        <w:t>later</w:t>
      </w:r>
      <w:proofErr w:type="spellEnd"/>
      <w:r w:rsidR="00CB0992" w:rsidRPr="00CB0992">
        <w:rPr>
          <w:rFonts w:ascii="Arial" w:hAnsi="Arial" w:cs="Arial"/>
          <w:sz w:val="24"/>
          <w:szCs w:val="24"/>
        </w:rPr>
        <w:t>:</w:t>
      </w:r>
      <w:proofErr w:type="gramEnd"/>
      <w:r w:rsidR="00CB0992" w:rsidRPr="00CB0992">
        <w:rPr>
          <w:rFonts w:ascii="Arial" w:hAnsi="Arial" w:cs="Arial"/>
          <w:sz w:val="24"/>
          <w:szCs w:val="24"/>
        </w:rPr>
        <w:t xml:space="preserve"> The </w:t>
      </w:r>
      <w:proofErr w:type="spellStart"/>
      <w:r w:rsidR="00CB0992" w:rsidRPr="00CB0992">
        <w:rPr>
          <w:rFonts w:ascii="Arial" w:hAnsi="Arial" w:cs="Arial"/>
          <w:sz w:val="24"/>
          <w:szCs w:val="24"/>
        </w:rPr>
        <w:t>strategic</w:t>
      </w:r>
      <w:proofErr w:type="spellEnd"/>
      <w:r w:rsidR="00CB0992" w:rsidRPr="00CB0992">
        <w:rPr>
          <w:rFonts w:ascii="Arial" w:hAnsi="Arial" w:cs="Arial"/>
          <w:sz w:val="24"/>
          <w:szCs w:val="24"/>
        </w:rPr>
        <w:t xml:space="preserve"> communication </w:t>
      </w:r>
      <w:proofErr w:type="spellStart"/>
      <w:r w:rsidR="00CB0992" w:rsidRPr="00CB0992">
        <w:rPr>
          <w:rFonts w:ascii="Arial" w:hAnsi="Arial" w:cs="Arial"/>
          <w:sz w:val="24"/>
          <w:szCs w:val="24"/>
        </w:rPr>
        <w:t>decisions</w:t>
      </w:r>
      <w:proofErr w:type="spellEnd"/>
      <w:r w:rsidR="00CB0992" w:rsidRPr="00CB0992">
        <w:rPr>
          <w:rFonts w:ascii="Arial" w:hAnsi="Arial" w:cs="Arial"/>
          <w:sz w:val="24"/>
          <w:szCs w:val="24"/>
        </w:rPr>
        <w:t xml:space="preserve"> of </w:t>
      </w:r>
      <w:proofErr w:type="spellStart"/>
      <w:r w:rsidR="00CB0992" w:rsidRPr="00CB0992">
        <w:rPr>
          <w:rFonts w:ascii="Arial" w:hAnsi="Arial" w:cs="Arial"/>
          <w:sz w:val="24"/>
          <w:szCs w:val="24"/>
        </w:rPr>
        <w:t>activist</w:t>
      </w:r>
      <w:proofErr w:type="spellEnd"/>
      <w:r w:rsidR="00CB0992" w:rsidRPr="00CB0992">
        <w:rPr>
          <w:rFonts w:ascii="Arial" w:hAnsi="Arial" w:cs="Arial"/>
          <w:sz w:val="24"/>
          <w:szCs w:val="24"/>
        </w:rPr>
        <w:t xml:space="preserve"> </w:t>
      </w:r>
      <w:proofErr w:type="spellStart"/>
      <w:r w:rsidR="00CB0992" w:rsidRPr="00CB0992">
        <w:rPr>
          <w:rFonts w:ascii="Arial" w:hAnsi="Arial" w:cs="Arial"/>
          <w:sz w:val="24"/>
          <w:szCs w:val="24"/>
        </w:rPr>
        <w:t>blockholders</w:t>
      </w:r>
      <w:proofErr w:type="spellEnd"/>
      <w:r w:rsidR="00CB0992">
        <w:rPr>
          <w:rFonts w:ascii="Arial" w:hAnsi="Arial" w:cs="Arial"/>
          <w:sz w:val="24"/>
          <w:szCs w:val="24"/>
        </w:rPr>
        <w:t xml:space="preserve"> », </w:t>
      </w:r>
      <w:r w:rsidR="00416B8B" w:rsidRPr="00416B8B">
        <w:rPr>
          <w:rFonts w:ascii="Arial" w:hAnsi="Arial" w:cs="Arial"/>
          <w:i/>
          <w:iCs/>
          <w:sz w:val="24"/>
          <w:szCs w:val="24"/>
        </w:rPr>
        <w:t xml:space="preserve">Journal of </w:t>
      </w:r>
      <w:proofErr w:type="spellStart"/>
      <w:r w:rsidR="00416B8B" w:rsidRPr="00416B8B">
        <w:rPr>
          <w:rFonts w:ascii="Arial" w:hAnsi="Arial" w:cs="Arial"/>
          <w:i/>
          <w:iCs/>
          <w:sz w:val="24"/>
          <w:szCs w:val="24"/>
        </w:rPr>
        <w:t>Corporate</w:t>
      </w:r>
      <w:proofErr w:type="spellEnd"/>
      <w:r w:rsidR="00416B8B" w:rsidRPr="00416B8B">
        <w:rPr>
          <w:rFonts w:ascii="Arial" w:hAnsi="Arial" w:cs="Arial"/>
          <w:i/>
          <w:iCs/>
          <w:sz w:val="24"/>
          <w:szCs w:val="24"/>
        </w:rPr>
        <w:t xml:space="preserve"> Finance</w:t>
      </w:r>
      <w:r w:rsidR="00416B8B">
        <w:rPr>
          <w:rFonts w:ascii="Arial" w:hAnsi="Arial" w:cs="Arial"/>
          <w:sz w:val="24"/>
          <w:szCs w:val="24"/>
        </w:rPr>
        <w:t>, Vol.62</w:t>
      </w:r>
    </w:p>
    <w:p w14:paraId="275B1618" w14:textId="0BC2B77C" w:rsidR="00164D75" w:rsidRPr="00164D75" w:rsidRDefault="0097703F" w:rsidP="00164D75">
      <w:pPr>
        <w:pStyle w:val="Paragraphedeliste"/>
        <w:numPr>
          <w:ilvl w:val="0"/>
          <w:numId w:val="5"/>
        </w:numPr>
        <w:spacing w:line="240" w:lineRule="auto"/>
        <w:jc w:val="both"/>
        <w:rPr>
          <w:rFonts w:ascii="Arial" w:hAnsi="Arial" w:cs="Arial"/>
          <w:sz w:val="24"/>
          <w:szCs w:val="24"/>
        </w:rPr>
      </w:pPr>
      <w:r>
        <w:rPr>
          <w:rFonts w:ascii="Arial" w:eastAsia="Times New Roman" w:hAnsi="Arial" w:cs="Arial"/>
          <w:sz w:val="24"/>
          <w:szCs w:val="24"/>
          <w:lang w:eastAsia="fr-BE"/>
        </w:rPr>
        <w:lastRenderedPageBreak/>
        <w:t>Allouche J., Amann B. (2000), « </w:t>
      </w:r>
      <w:r w:rsidR="0095333A" w:rsidRPr="0095333A">
        <w:rPr>
          <w:rFonts w:ascii="Arial" w:eastAsia="Times New Roman" w:hAnsi="Arial" w:cs="Arial"/>
          <w:sz w:val="24"/>
          <w:szCs w:val="24"/>
          <w:lang w:eastAsia="fr-BE"/>
        </w:rPr>
        <w:t>L’entreprise familiale : un état de l’art</w:t>
      </w:r>
      <w:r w:rsidR="0095333A">
        <w:rPr>
          <w:rFonts w:ascii="Arial" w:eastAsia="Times New Roman" w:hAnsi="Arial" w:cs="Arial"/>
          <w:sz w:val="24"/>
          <w:szCs w:val="24"/>
          <w:lang w:eastAsia="fr-BE"/>
        </w:rPr>
        <w:t xml:space="preserve"> », </w:t>
      </w:r>
      <w:r w:rsidR="0095333A" w:rsidRPr="0095333A">
        <w:rPr>
          <w:rFonts w:ascii="Arial" w:eastAsia="Times New Roman" w:hAnsi="Arial" w:cs="Arial"/>
          <w:i/>
          <w:iCs/>
          <w:sz w:val="24"/>
          <w:szCs w:val="24"/>
          <w:lang w:eastAsia="fr-BE"/>
        </w:rPr>
        <w:t>Finance Contrôle Stratégie</w:t>
      </w:r>
      <w:r w:rsidR="0095333A">
        <w:rPr>
          <w:rFonts w:ascii="Arial" w:eastAsia="Times New Roman" w:hAnsi="Arial" w:cs="Arial"/>
          <w:sz w:val="24"/>
          <w:szCs w:val="24"/>
          <w:lang w:eastAsia="fr-BE"/>
        </w:rPr>
        <w:t>, Vol.</w:t>
      </w:r>
      <w:r w:rsidR="00164D75">
        <w:rPr>
          <w:rFonts w:ascii="Arial" w:eastAsia="Times New Roman" w:hAnsi="Arial" w:cs="Arial"/>
          <w:sz w:val="24"/>
          <w:szCs w:val="24"/>
          <w:lang w:eastAsia="fr-BE"/>
        </w:rPr>
        <w:t>3</w:t>
      </w:r>
      <w:r w:rsidR="0095333A">
        <w:rPr>
          <w:rFonts w:ascii="Arial" w:eastAsia="Times New Roman" w:hAnsi="Arial" w:cs="Arial"/>
          <w:sz w:val="24"/>
          <w:szCs w:val="24"/>
          <w:lang w:eastAsia="fr-BE"/>
        </w:rPr>
        <w:t>, n°</w:t>
      </w:r>
      <w:r w:rsidR="00164D75">
        <w:rPr>
          <w:rFonts w:ascii="Arial" w:eastAsia="Times New Roman" w:hAnsi="Arial" w:cs="Arial"/>
          <w:sz w:val="24"/>
          <w:szCs w:val="24"/>
          <w:lang w:eastAsia="fr-BE"/>
        </w:rPr>
        <w:t>1</w:t>
      </w:r>
      <w:r w:rsidR="0095333A">
        <w:rPr>
          <w:rFonts w:ascii="Arial" w:eastAsia="Times New Roman" w:hAnsi="Arial" w:cs="Arial"/>
          <w:sz w:val="24"/>
          <w:szCs w:val="24"/>
          <w:lang w:eastAsia="fr-BE"/>
        </w:rPr>
        <w:t>, pp.</w:t>
      </w:r>
      <w:r w:rsidR="00164D75">
        <w:rPr>
          <w:rFonts w:ascii="Arial" w:eastAsia="Times New Roman" w:hAnsi="Arial" w:cs="Arial"/>
          <w:sz w:val="24"/>
          <w:szCs w:val="24"/>
          <w:lang w:eastAsia="fr-BE"/>
        </w:rPr>
        <w:t>33-79</w:t>
      </w:r>
    </w:p>
    <w:p w14:paraId="591066E5" w14:textId="135202DA" w:rsidR="00E14C48" w:rsidRDefault="00E14C48" w:rsidP="00C8708A">
      <w:pPr>
        <w:pStyle w:val="Paragraphedeliste"/>
        <w:numPr>
          <w:ilvl w:val="0"/>
          <w:numId w:val="5"/>
        </w:numPr>
        <w:spacing w:line="240" w:lineRule="auto"/>
        <w:jc w:val="both"/>
        <w:rPr>
          <w:rFonts w:ascii="Arial" w:hAnsi="Arial" w:cs="Arial"/>
          <w:sz w:val="24"/>
          <w:szCs w:val="24"/>
        </w:rPr>
      </w:pPr>
      <w:proofErr w:type="spellStart"/>
      <w:r w:rsidRPr="004A0C4B">
        <w:rPr>
          <w:rFonts w:ascii="Arial" w:hAnsi="Arial" w:cs="Arial"/>
          <w:sz w:val="24"/>
          <w:szCs w:val="24"/>
        </w:rPr>
        <w:t>Basu</w:t>
      </w:r>
      <w:proofErr w:type="spellEnd"/>
      <w:r w:rsidRPr="004A0C4B">
        <w:rPr>
          <w:rFonts w:ascii="Arial" w:hAnsi="Arial" w:cs="Arial"/>
          <w:sz w:val="24"/>
          <w:szCs w:val="24"/>
        </w:rPr>
        <w:t xml:space="preserve"> N., </w:t>
      </w:r>
      <w:proofErr w:type="spellStart"/>
      <w:r w:rsidRPr="004A0C4B">
        <w:rPr>
          <w:rFonts w:ascii="Arial" w:hAnsi="Arial" w:cs="Arial"/>
          <w:sz w:val="24"/>
          <w:szCs w:val="24"/>
        </w:rPr>
        <w:t>Paeglis</w:t>
      </w:r>
      <w:proofErr w:type="spellEnd"/>
      <w:r w:rsidRPr="004A0C4B">
        <w:rPr>
          <w:rFonts w:ascii="Arial" w:hAnsi="Arial" w:cs="Arial"/>
          <w:sz w:val="24"/>
          <w:szCs w:val="24"/>
        </w:rPr>
        <w:t xml:space="preserve"> I., </w:t>
      </w:r>
      <w:proofErr w:type="spellStart"/>
      <w:r w:rsidRPr="004A0C4B">
        <w:rPr>
          <w:rFonts w:ascii="Arial" w:hAnsi="Arial" w:cs="Arial"/>
          <w:sz w:val="24"/>
          <w:szCs w:val="24"/>
        </w:rPr>
        <w:t>Toffanin</w:t>
      </w:r>
      <w:proofErr w:type="spellEnd"/>
      <w:r w:rsidRPr="004A0C4B">
        <w:rPr>
          <w:rFonts w:ascii="Arial" w:hAnsi="Arial" w:cs="Arial"/>
          <w:sz w:val="24"/>
          <w:szCs w:val="24"/>
        </w:rPr>
        <w:t xml:space="preserve"> M.</w:t>
      </w:r>
      <w:r>
        <w:rPr>
          <w:rFonts w:ascii="Arial" w:hAnsi="Arial" w:cs="Arial"/>
          <w:sz w:val="24"/>
          <w:szCs w:val="24"/>
        </w:rPr>
        <w:t xml:space="preserve"> (</w:t>
      </w:r>
      <w:r w:rsidRPr="004A0C4B">
        <w:rPr>
          <w:rFonts w:ascii="Arial" w:hAnsi="Arial" w:cs="Arial"/>
          <w:sz w:val="24"/>
          <w:szCs w:val="24"/>
        </w:rPr>
        <w:t>2017</w:t>
      </w:r>
      <w:r>
        <w:rPr>
          <w:rFonts w:ascii="Arial" w:hAnsi="Arial" w:cs="Arial"/>
          <w:sz w:val="24"/>
          <w:szCs w:val="24"/>
        </w:rPr>
        <w:t>), « </w:t>
      </w:r>
      <w:r w:rsidR="00BC5CEB" w:rsidRPr="00BC5CEB">
        <w:rPr>
          <w:rFonts w:ascii="Arial" w:hAnsi="Arial" w:cs="Arial"/>
          <w:sz w:val="24"/>
          <w:szCs w:val="24"/>
        </w:rPr>
        <w:t xml:space="preserve">Reading </w:t>
      </w:r>
      <w:proofErr w:type="spellStart"/>
      <w:r w:rsidR="00BC5CEB" w:rsidRPr="00BC5CEB">
        <w:rPr>
          <w:rFonts w:ascii="Arial" w:hAnsi="Arial" w:cs="Arial"/>
          <w:sz w:val="24"/>
          <w:szCs w:val="24"/>
        </w:rPr>
        <w:t>between</w:t>
      </w:r>
      <w:proofErr w:type="spellEnd"/>
      <w:r w:rsidR="00BC5CEB" w:rsidRPr="00BC5CEB">
        <w:rPr>
          <w:rFonts w:ascii="Arial" w:hAnsi="Arial" w:cs="Arial"/>
          <w:sz w:val="24"/>
          <w:szCs w:val="24"/>
        </w:rPr>
        <w:t xml:space="preserve"> the blocks</w:t>
      </w:r>
      <w:r w:rsidR="00BC5CEB">
        <w:rPr>
          <w:rFonts w:ascii="Arial" w:hAnsi="Arial" w:cs="Arial"/>
          <w:sz w:val="24"/>
          <w:szCs w:val="24"/>
        </w:rPr>
        <w:t xml:space="preserve"> », </w:t>
      </w:r>
      <w:r w:rsidR="00BC5CEB" w:rsidRPr="005E57BF">
        <w:rPr>
          <w:rFonts w:ascii="Arial" w:hAnsi="Arial" w:cs="Arial"/>
          <w:i/>
          <w:iCs/>
          <w:sz w:val="24"/>
          <w:szCs w:val="24"/>
        </w:rPr>
        <w:t xml:space="preserve">Journal of </w:t>
      </w:r>
      <w:proofErr w:type="spellStart"/>
      <w:r w:rsidR="00BC5CEB" w:rsidRPr="005E57BF">
        <w:rPr>
          <w:rFonts w:ascii="Arial" w:hAnsi="Arial" w:cs="Arial"/>
          <w:i/>
          <w:iCs/>
          <w:sz w:val="24"/>
          <w:szCs w:val="24"/>
        </w:rPr>
        <w:t>Corporate</w:t>
      </w:r>
      <w:proofErr w:type="spellEnd"/>
      <w:r w:rsidR="00BC5CEB" w:rsidRPr="005E57BF">
        <w:rPr>
          <w:rFonts w:ascii="Arial" w:hAnsi="Arial" w:cs="Arial"/>
          <w:i/>
          <w:iCs/>
          <w:sz w:val="24"/>
          <w:szCs w:val="24"/>
        </w:rPr>
        <w:t xml:space="preserve"> Finance</w:t>
      </w:r>
      <w:r w:rsidR="00BC5CEB">
        <w:rPr>
          <w:rFonts w:ascii="Arial" w:hAnsi="Arial" w:cs="Arial"/>
          <w:sz w:val="24"/>
          <w:szCs w:val="24"/>
        </w:rPr>
        <w:t>, Vol.45</w:t>
      </w:r>
      <w:r w:rsidR="005E57BF">
        <w:rPr>
          <w:rFonts w:ascii="Arial" w:hAnsi="Arial" w:cs="Arial"/>
          <w:sz w:val="24"/>
          <w:szCs w:val="24"/>
        </w:rPr>
        <w:t>, pp.294-317</w:t>
      </w:r>
    </w:p>
    <w:p w14:paraId="4C441AFE" w14:textId="7791C263" w:rsidR="001D0137" w:rsidRDefault="001D0137" w:rsidP="00C8708A">
      <w:pPr>
        <w:pStyle w:val="Paragraphedeliste"/>
        <w:numPr>
          <w:ilvl w:val="0"/>
          <w:numId w:val="5"/>
        </w:numPr>
        <w:spacing w:line="240" w:lineRule="auto"/>
        <w:jc w:val="both"/>
        <w:rPr>
          <w:rFonts w:ascii="Arial" w:hAnsi="Arial" w:cs="Arial"/>
          <w:sz w:val="24"/>
          <w:szCs w:val="24"/>
        </w:rPr>
      </w:pPr>
      <w:r w:rsidRPr="00022BDE">
        <w:rPr>
          <w:rFonts w:ascii="Arial" w:hAnsi="Arial" w:cs="Arial"/>
          <w:sz w:val="24"/>
          <w:szCs w:val="24"/>
        </w:rPr>
        <w:t>Boubaker</w:t>
      </w:r>
      <w:r>
        <w:rPr>
          <w:rFonts w:ascii="Arial" w:hAnsi="Arial" w:cs="Arial"/>
          <w:sz w:val="24"/>
          <w:szCs w:val="24"/>
        </w:rPr>
        <w:t xml:space="preserve"> S., </w:t>
      </w:r>
      <w:proofErr w:type="spellStart"/>
      <w:r w:rsidRPr="00022BDE">
        <w:rPr>
          <w:rFonts w:ascii="Arial" w:hAnsi="Arial" w:cs="Arial"/>
          <w:sz w:val="24"/>
          <w:szCs w:val="24"/>
        </w:rPr>
        <w:t>Derouich</w:t>
      </w:r>
      <w:r>
        <w:rPr>
          <w:rFonts w:ascii="Arial" w:hAnsi="Arial" w:cs="Arial"/>
          <w:sz w:val="24"/>
          <w:szCs w:val="24"/>
        </w:rPr>
        <w:t>i</w:t>
      </w:r>
      <w:proofErr w:type="spellEnd"/>
      <w:r>
        <w:rPr>
          <w:rFonts w:ascii="Arial" w:hAnsi="Arial" w:cs="Arial"/>
          <w:sz w:val="24"/>
          <w:szCs w:val="24"/>
        </w:rPr>
        <w:t xml:space="preserve"> I., </w:t>
      </w:r>
      <w:proofErr w:type="spellStart"/>
      <w:r w:rsidRPr="00022BDE">
        <w:rPr>
          <w:rFonts w:ascii="Arial" w:hAnsi="Arial" w:cs="Arial"/>
          <w:sz w:val="24"/>
          <w:szCs w:val="24"/>
        </w:rPr>
        <w:t>Lasfer</w:t>
      </w:r>
      <w:proofErr w:type="spellEnd"/>
      <w:r>
        <w:rPr>
          <w:rFonts w:ascii="Arial" w:hAnsi="Arial" w:cs="Arial"/>
          <w:sz w:val="24"/>
          <w:szCs w:val="24"/>
        </w:rPr>
        <w:t xml:space="preserve"> M. (2015</w:t>
      </w:r>
      <w:r w:rsidR="005E6BB7">
        <w:rPr>
          <w:rFonts w:ascii="Arial" w:hAnsi="Arial" w:cs="Arial"/>
          <w:sz w:val="24"/>
          <w:szCs w:val="24"/>
        </w:rPr>
        <w:t>),</w:t>
      </w:r>
      <w:r w:rsidR="009D1544">
        <w:rPr>
          <w:rFonts w:ascii="Arial" w:hAnsi="Arial" w:cs="Arial"/>
          <w:sz w:val="24"/>
          <w:szCs w:val="24"/>
        </w:rPr>
        <w:t xml:space="preserve"> «</w:t>
      </w:r>
      <w:r w:rsidR="009D1544" w:rsidRPr="005E6BB7">
        <w:rPr>
          <w:rFonts w:ascii="Arial" w:hAnsi="Arial" w:cs="Arial"/>
          <w:sz w:val="24"/>
          <w:szCs w:val="24"/>
        </w:rPr>
        <w:t xml:space="preserve"> Geographic</w:t>
      </w:r>
      <w:r w:rsidR="005E6BB7" w:rsidRPr="005E6BB7">
        <w:rPr>
          <w:rFonts w:ascii="Arial" w:hAnsi="Arial" w:cs="Arial"/>
          <w:sz w:val="24"/>
          <w:szCs w:val="24"/>
        </w:rPr>
        <w:t xml:space="preserve"> location, </w:t>
      </w:r>
      <w:proofErr w:type="spellStart"/>
      <w:r w:rsidR="005E6BB7" w:rsidRPr="005E6BB7">
        <w:rPr>
          <w:rFonts w:ascii="Arial" w:hAnsi="Arial" w:cs="Arial"/>
          <w:sz w:val="24"/>
          <w:szCs w:val="24"/>
        </w:rPr>
        <w:t>excess</w:t>
      </w:r>
      <w:proofErr w:type="spellEnd"/>
      <w:r w:rsidR="005E6BB7" w:rsidRPr="005E6BB7">
        <w:rPr>
          <w:rFonts w:ascii="Arial" w:hAnsi="Arial" w:cs="Arial"/>
          <w:sz w:val="24"/>
          <w:szCs w:val="24"/>
        </w:rPr>
        <w:t xml:space="preserve"> control </w:t>
      </w:r>
      <w:proofErr w:type="spellStart"/>
      <w:r w:rsidR="005E6BB7" w:rsidRPr="005E6BB7">
        <w:rPr>
          <w:rFonts w:ascii="Arial" w:hAnsi="Arial" w:cs="Arial"/>
          <w:sz w:val="24"/>
          <w:szCs w:val="24"/>
        </w:rPr>
        <w:t>rights</w:t>
      </w:r>
      <w:proofErr w:type="spellEnd"/>
      <w:r w:rsidR="005E6BB7" w:rsidRPr="005E6BB7">
        <w:rPr>
          <w:rFonts w:ascii="Arial" w:hAnsi="Arial" w:cs="Arial"/>
          <w:sz w:val="24"/>
          <w:szCs w:val="24"/>
        </w:rPr>
        <w:t>, and cash holdings</w:t>
      </w:r>
      <w:r w:rsidR="005E6BB7">
        <w:rPr>
          <w:rFonts w:ascii="Arial" w:hAnsi="Arial" w:cs="Arial"/>
          <w:sz w:val="24"/>
          <w:szCs w:val="24"/>
        </w:rPr>
        <w:t xml:space="preserve"> », </w:t>
      </w:r>
      <w:r w:rsidR="005E6BB7" w:rsidRPr="009D1544">
        <w:rPr>
          <w:rFonts w:ascii="Arial" w:hAnsi="Arial" w:cs="Arial"/>
          <w:i/>
          <w:iCs/>
          <w:sz w:val="24"/>
          <w:szCs w:val="24"/>
        </w:rPr>
        <w:t xml:space="preserve">International </w:t>
      </w:r>
      <w:proofErr w:type="spellStart"/>
      <w:r w:rsidR="005E6BB7" w:rsidRPr="009D1544">
        <w:rPr>
          <w:rFonts w:ascii="Arial" w:hAnsi="Arial" w:cs="Arial"/>
          <w:i/>
          <w:iCs/>
          <w:sz w:val="24"/>
          <w:szCs w:val="24"/>
        </w:rPr>
        <w:t>Review</w:t>
      </w:r>
      <w:proofErr w:type="spellEnd"/>
      <w:r w:rsidR="005E6BB7" w:rsidRPr="009D1544">
        <w:rPr>
          <w:rFonts w:ascii="Arial" w:hAnsi="Arial" w:cs="Arial"/>
          <w:i/>
          <w:iCs/>
          <w:sz w:val="24"/>
          <w:szCs w:val="24"/>
        </w:rPr>
        <w:t xml:space="preserve"> of Financial </w:t>
      </w:r>
      <w:proofErr w:type="spellStart"/>
      <w:r w:rsidR="005E6BB7" w:rsidRPr="009D1544">
        <w:rPr>
          <w:rFonts w:ascii="Arial" w:hAnsi="Arial" w:cs="Arial"/>
          <w:i/>
          <w:iCs/>
          <w:sz w:val="24"/>
          <w:szCs w:val="24"/>
        </w:rPr>
        <w:t>Analysis</w:t>
      </w:r>
      <w:proofErr w:type="spellEnd"/>
      <w:r w:rsidR="009D1544">
        <w:rPr>
          <w:rFonts w:ascii="Arial" w:hAnsi="Arial" w:cs="Arial"/>
          <w:sz w:val="24"/>
          <w:szCs w:val="24"/>
        </w:rPr>
        <w:t>, Vol.42, pp.24-37</w:t>
      </w:r>
    </w:p>
    <w:p w14:paraId="2DDB3844" w14:textId="37F0BE28" w:rsidR="00D63A9C" w:rsidRDefault="00D63A9C" w:rsidP="00C8708A">
      <w:pPr>
        <w:pStyle w:val="Paragraphedeliste"/>
        <w:numPr>
          <w:ilvl w:val="0"/>
          <w:numId w:val="5"/>
        </w:numPr>
        <w:spacing w:line="240" w:lineRule="auto"/>
        <w:jc w:val="both"/>
        <w:rPr>
          <w:rFonts w:ascii="Arial" w:hAnsi="Arial" w:cs="Arial"/>
          <w:sz w:val="24"/>
          <w:szCs w:val="24"/>
        </w:rPr>
      </w:pPr>
      <w:r>
        <w:rPr>
          <w:rFonts w:ascii="Arial" w:hAnsi="Arial" w:cs="Arial"/>
          <w:sz w:val="24"/>
          <w:szCs w:val="24"/>
        </w:rPr>
        <w:t xml:space="preserve">Boubaker S., </w:t>
      </w:r>
      <w:proofErr w:type="spellStart"/>
      <w:r>
        <w:rPr>
          <w:rFonts w:ascii="Arial" w:hAnsi="Arial" w:cs="Arial"/>
          <w:sz w:val="24"/>
          <w:szCs w:val="24"/>
        </w:rPr>
        <w:t>Labegorre</w:t>
      </w:r>
      <w:proofErr w:type="spellEnd"/>
      <w:r>
        <w:rPr>
          <w:rFonts w:ascii="Arial" w:hAnsi="Arial" w:cs="Arial"/>
          <w:sz w:val="24"/>
          <w:szCs w:val="24"/>
        </w:rPr>
        <w:t xml:space="preserve"> F. (2011), « </w:t>
      </w:r>
      <w:r w:rsidR="0053059B" w:rsidRPr="0053059B">
        <w:rPr>
          <w:rFonts w:ascii="Arial" w:hAnsi="Arial" w:cs="Arial"/>
          <w:sz w:val="24"/>
          <w:szCs w:val="24"/>
        </w:rPr>
        <w:t>La gouvernance des sociétés françaises cotées est-elle toujours familiale ?</w:t>
      </w:r>
      <w:r w:rsidR="0053059B">
        <w:rPr>
          <w:rFonts w:ascii="Arial" w:hAnsi="Arial" w:cs="Arial"/>
          <w:sz w:val="24"/>
          <w:szCs w:val="24"/>
        </w:rPr>
        <w:t xml:space="preserve"> », </w:t>
      </w:r>
      <w:r w:rsidR="0053059B" w:rsidRPr="0020001A">
        <w:rPr>
          <w:rFonts w:ascii="Arial" w:hAnsi="Arial" w:cs="Arial"/>
          <w:i/>
          <w:iCs/>
          <w:sz w:val="24"/>
          <w:szCs w:val="24"/>
        </w:rPr>
        <w:t>Management</w:t>
      </w:r>
      <w:r w:rsidR="0020001A" w:rsidRPr="0020001A">
        <w:rPr>
          <w:rFonts w:ascii="Arial" w:hAnsi="Arial" w:cs="Arial"/>
          <w:i/>
          <w:iCs/>
          <w:sz w:val="24"/>
          <w:szCs w:val="24"/>
        </w:rPr>
        <w:t xml:space="preserve"> </w:t>
      </w:r>
      <w:r w:rsidR="0053059B" w:rsidRPr="0020001A">
        <w:rPr>
          <w:rFonts w:ascii="Arial" w:hAnsi="Arial" w:cs="Arial"/>
          <w:i/>
          <w:iCs/>
          <w:sz w:val="24"/>
          <w:szCs w:val="24"/>
        </w:rPr>
        <w:t>&amp;</w:t>
      </w:r>
      <w:r w:rsidR="0020001A" w:rsidRPr="0020001A">
        <w:rPr>
          <w:rFonts w:ascii="Arial" w:hAnsi="Arial" w:cs="Arial"/>
          <w:i/>
          <w:iCs/>
          <w:sz w:val="24"/>
          <w:szCs w:val="24"/>
        </w:rPr>
        <w:t xml:space="preserve"> </w:t>
      </w:r>
      <w:r w:rsidR="0053059B" w:rsidRPr="0020001A">
        <w:rPr>
          <w:rFonts w:ascii="Arial" w:hAnsi="Arial" w:cs="Arial"/>
          <w:i/>
          <w:iCs/>
          <w:sz w:val="24"/>
          <w:szCs w:val="24"/>
        </w:rPr>
        <w:t>Avenir</w:t>
      </w:r>
      <w:r w:rsidR="0053059B">
        <w:rPr>
          <w:rFonts w:ascii="Arial" w:hAnsi="Arial" w:cs="Arial"/>
          <w:sz w:val="24"/>
          <w:szCs w:val="24"/>
        </w:rPr>
        <w:t>, Vol.9, n°49, pp.</w:t>
      </w:r>
      <w:r w:rsidR="0020001A">
        <w:rPr>
          <w:rFonts w:ascii="Arial" w:hAnsi="Arial" w:cs="Arial"/>
          <w:sz w:val="24"/>
          <w:szCs w:val="24"/>
        </w:rPr>
        <w:t>16-35</w:t>
      </w:r>
    </w:p>
    <w:p w14:paraId="224A3177" w14:textId="07317C01" w:rsidR="00B21449" w:rsidRDefault="00B21449" w:rsidP="00C8708A">
      <w:pPr>
        <w:pStyle w:val="Paragraphedeliste"/>
        <w:numPr>
          <w:ilvl w:val="0"/>
          <w:numId w:val="5"/>
        </w:numPr>
        <w:spacing w:line="240" w:lineRule="auto"/>
        <w:jc w:val="both"/>
        <w:rPr>
          <w:rFonts w:ascii="Arial" w:hAnsi="Arial" w:cs="Arial"/>
          <w:sz w:val="24"/>
          <w:szCs w:val="24"/>
        </w:rPr>
      </w:pPr>
      <w:proofErr w:type="spellStart"/>
      <w:r w:rsidRPr="00B21449">
        <w:rPr>
          <w:rFonts w:ascii="Arial" w:hAnsi="Arial" w:cs="Arial"/>
          <w:sz w:val="24"/>
          <w:szCs w:val="24"/>
        </w:rPr>
        <w:t>Brav</w:t>
      </w:r>
      <w:proofErr w:type="spellEnd"/>
      <w:r w:rsidRPr="00B21449">
        <w:rPr>
          <w:rFonts w:ascii="Arial" w:hAnsi="Arial" w:cs="Arial"/>
          <w:sz w:val="24"/>
          <w:szCs w:val="24"/>
        </w:rPr>
        <w:t xml:space="preserve"> A., Wei J., Song M., Xuan T.</w:t>
      </w:r>
      <w:r>
        <w:rPr>
          <w:rFonts w:ascii="Arial" w:hAnsi="Arial" w:cs="Arial"/>
          <w:sz w:val="24"/>
          <w:szCs w:val="24"/>
        </w:rPr>
        <w:t xml:space="preserve"> (</w:t>
      </w:r>
      <w:r w:rsidRPr="00B21449">
        <w:rPr>
          <w:rFonts w:ascii="Arial" w:hAnsi="Arial" w:cs="Arial"/>
          <w:sz w:val="24"/>
          <w:szCs w:val="24"/>
        </w:rPr>
        <w:t>2018</w:t>
      </w:r>
      <w:r>
        <w:rPr>
          <w:rFonts w:ascii="Arial" w:hAnsi="Arial" w:cs="Arial"/>
          <w:sz w:val="24"/>
          <w:szCs w:val="24"/>
        </w:rPr>
        <w:t>), « </w:t>
      </w:r>
      <w:r w:rsidRPr="00B21449">
        <w:rPr>
          <w:rFonts w:ascii="Arial" w:hAnsi="Arial" w:cs="Arial"/>
          <w:sz w:val="24"/>
          <w:szCs w:val="24"/>
        </w:rPr>
        <w:t xml:space="preserve">How </w:t>
      </w:r>
      <w:proofErr w:type="spellStart"/>
      <w:r w:rsidRPr="00B21449">
        <w:rPr>
          <w:rFonts w:ascii="Arial" w:hAnsi="Arial" w:cs="Arial"/>
          <w:sz w:val="24"/>
          <w:szCs w:val="24"/>
        </w:rPr>
        <w:t>does</w:t>
      </w:r>
      <w:proofErr w:type="spellEnd"/>
      <w:r w:rsidRPr="00B21449">
        <w:rPr>
          <w:rFonts w:ascii="Arial" w:hAnsi="Arial" w:cs="Arial"/>
          <w:sz w:val="24"/>
          <w:szCs w:val="24"/>
        </w:rPr>
        <w:t xml:space="preserve"> </w:t>
      </w:r>
      <w:proofErr w:type="spellStart"/>
      <w:r w:rsidRPr="00B21449">
        <w:rPr>
          <w:rFonts w:ascii="Arial" w:hAnsi="Arial" w:cs="Arial"/>
          <w:sz w:val="24"/>
          <w:szCs w:val="24"/>
        </w:rPr>
        <w:t>hedge</w:t>
      </w:r>
      <w:proofErr w:type="spellEnd"/>
      <w:r w:rsidRPr="00B21449">
        <w:rPr>
          <w:rFonts w:ascii="Arial" w:hAnsi="Arial" w:cs="Arial"/>
          <w:sz w:val="24"/>
          <w:szCs w:val="24"/>
        </w:rPr>
        <w:t xml:space="preserve"> </w:t>
      </w:r>
      <w:proofErr w:type="spellStart"/>
      <w:r w:rsidRPr="00B21449">
        <w:rPr>
          <w:rFonts w:ascii="Arial" w:hAnsi="Arial" w:cs="Arial"/>
          <w:sz w:val="24"/>
          <w:szCs w:val="24"/>
        </w:rPr>
        <w:t>fund</w:t>
      </w:r>
      <w:proofErr w:type="spellEnd"/>
      <w:r w:rsidRPr="00B21449">
        <w:rPr>
          <w:rFonts w:ascii="Arial" w:hAnsi="Arial" w:cs="Arial"/>
          <w:sz w:val="24"/>
          <w:szCs w:val="24"/>
        </w:rPr>
        <w:t xml:space="preserve"> </w:t>
      </w:r>
      <w:proofErr w:type="spellStart"/>
      <w:r w:rsidRPr="00B21449">
        <w:rPr>
          <w:rFonts w:ascii="Arial" w:hAnsi="Arial" w:cs="Arial"/>
          <w:sz w:val="24"/>
          <w:szCs w:val="24"/>
        </w:rPr>
        <w:t>activism</w:t>
      </w:r>
      <w:proofErr w:type="spellEnd"/>
      <w:r w:rsidRPr="00B21449">
        <w:rPr>
          <w:rFonts w:ascii="Arial" w:hAnsi="Arial" w:cs="Arial"/>
          <w:sz w:val="24"/>
          <w:szCs w:val="24"/>
        </w:rPr>
        <w:t xml:space="preserve"> </w:t>
      </w:r>
      <w:proofErr w:type="spellStart"/>
      <w:r w:rsidRPr="00B21449">
        <w:rPr>
          <w:rFonts w:ascii="Arial" w:hAnsi="Arial" w:cs="Arial"/>
          <w:sz w:val="24"/>
          <w:szCs w:val="24"/>
        </w:rPr>
        <w:t>reshape</w:t>
      </w:r>
      <w:proofErr w:type="spellEnd"/>
      <w:r w:rsidRPr="00B21449">
        <w:rPr>
          <w:rFonts w:ascii="Arial" w:hAnsi="Arial" w:cs="Arial"/>
          <w:sz w:val="24"/>
          <w:szCs w:val="24"/>
        </w:rPr>
        <w:t xml:space="preserve"> </w:t>
      </w:r>
      <w:proofErr w:type="spellStart"/>
      <w:r w:rsidRPr="00B21449">
        <w:rPr>
          <w:rFonts w:ascii="Arial" w:hAnsi="Arial" w:cs="Arial"/>
          <w:sz w:val="24"/>
          <w:szCs w:val="24"/>
        </w:rPr>
        <w:t>corporate</w:t>
      </w:r>
      <w:proofErr w:type="spellEnd"/>
      <w:r w:rsidRPr="00B21449">
        <w:rPr>
          <w:rFonts w:ascii="Arial" w:hAnsi="Arial" w:cs="Arial"/>
          <w:sz w:val="24"/>
          <w:szCs w:val="24"/>
        </w:rPr>
        <w:t xml:space="preserve"> innovation</w:t>
      </w:r>
      <w:r w:rsidR="00B2438D">
        <w:rPr>
          <w:rFonts w:ascii="Arial" w:hAnsi="Arial" w:cs="Arial"/>
          <w:sz w:val="24"/>
          <w:szCs w:val="24"/>
        </w:rPr>
        <w:t xml:space="preserve"> </w:t>
      </w:r>
      <w:r w:rsidRPr="00B21449">
        <w:rPr>
          <w:rFonts w:ascii="Arial" w:hAnsi="Arial" w:cs="Arial"/>
          <w:sz w:val="24"/>
          <w:szCs w:val="24"/>
        </w:rPr>
        <w:t>?</w:t>
      </w:r>
      <w:r w:rsidR="00CC11E9">
        <w:rPr>
          <w:rFonts w:ascii="Arial" w:hAnsi="Arial" w:cs="Arial"/>
          <w:sz w:val="24"/>
          <w:szCs w:val="24"/>
        </w:rPr>
        <w:t xml:space="preserve"> », </w:t>
      </w:r>
      <w:r w:rsidR="00CC11E9" w:rsidRPr="00CC11E9">
        <w:rPr>
          <w:rFonts w:ascii="Arial" w:hAnsi="Arial" w:cs="Arial"/>
          <w:i/>
          <w:iCs/>
          <w:sz w:val="24"/>
          <w:szCs w:val="24"/>
        </w:rPr>
        <w:t xml:space="preserve">Journal of Financial </w:t>
      </w:r>
      <w:proofErr w:type="spellStart"/>
      <w:r w:rsidR="00CC11E9" w:rsidRPr="00CC11E9">
        <w:rPr>
          <w:rFonts w:ascii="Arial" w:hAnsi="Arial" w:cs="Arial"/>
          <w:i/>
          <w:iCs/>
          <w:sz w:val="24"/>
          <w:szCs w:val="24"/>
        </w:rPr>
        <w:t>Economics</w:t>
      </w:r>
      <w:proofErr w:type="spellEnd"/>
      <w:r w:rsidR="00CC11E9">
        <w:rPr>
          <w:rFonts w:ascii="Arial" w:hAnsi="Arial" w:cs="Arial"/>
          <w:sz w:val="24"/>
          <w:szCs w:val="24"/>
        </w:rPr>
        <w:t>, Vol.130, n°2, pp.</w:t>
      </w:r>
      <w:r w:rsidR="0028230A">
        <w:rPr>
          <w:rFonts w:ascii="Arial" w:hAnsi="Arial" w:cs="Arial"/>
          <w:sz w:val="24"/>
          <w:szCs w:val="24"/>
        </w:rPr>
        <w:t>237-264</w:t>
      </w:r>
    </w:p>
    <w:p w14:paraId="106EE8B1" w14:textId="26CEBEBA" w:rsidR="00D40DAC" w:rsidRPr="002B2A5A" w:rsidRDefault="00D40DAC" w:rsidP="002B2A5A">
      <w:pPr>
        <w:pStyle w:val="Paragraphedeliste"/>
        <w:numPr>
          <w:ilvl w:val="0"/>
          <w:numId w:val="5"/>
        </w:numPr>
        <w:spacing w:line="240" w:lineRule="auto"/>
        <w:jc w:val="both"/>
        <w:rPr>
          <w:rFonts w:ascii="Arial" w:hAnsi="Arial" w:cs="Arial"/>
          <w:sz w:val="24"/>
          <w:szCs w:val="24"/>
        </w:rPr>
      </w:pPr>
      <w:r>
        <w:rPr>
          <w:rFonts w:ascii="Arial" w:hAnsi="Arial" w:cs="Arial"/>
          <w:sz w:val="24"/>
          <w:szCs w:val="24"/>
        </w:rPr>
        <w:t xml:space="preserve">Brooks C., Chen Z., Zeng Y. (2018), « </w:t>
      </w:r>
      <w:proofErr w:type="spellStart"/>
      <w:r w:rsidR="002B2A5A" w:rsidRPr="002B2A5A">
        <w:rPr>
          <w:rFonts w:ascii="Arial" w:hAnsi="Arial" w:cs="Arial"/>
          <w:sz w:val="24"/>
          <w:szCs w:val="24"/>
        </w:rPr>
        <w:t>Institutional</w:t>
      </w:r>
      <w:proofErr w:type="spellEnd"/>
      <w:r w:rsidR="002B2A5A" w:rsidRPr="002B2A5A">
        <w:rPr>
          <w:rFonts w:ascii="Arial" w:hAnsi="Arial" w:cs="Arial"/>
          <w:sz w:val="24"/>
          <w:szCs w:val="24"/>
        </w:rPr>
        <w:t xml:space="preserve"> cross-</w:t>
      </w:r>
      <w:proofErr w:type="spellStart"/>
      <w:r w:rsidR="002B2A5A" w:rsidRPr="002B2A5A">
        <w:rPr>
          <w:rFonts w:ascii="Arial" w:hAnsi="Arial" w:cs="Arial"/>
          <w:sz w:val="24"/>
          <w:szCs w:val="24"/>
        </w:rPr>
        <w:t>ownership</w:t>
      </w:r>
      <w:proofErr w:type="spellEnd"/>
      <w:r w:rsidR="002B2A5A" w:rsidRPr="002B2A5A">
        <w:rPr>
          <w:rFonts w:ascii="Arial" w:hAnsi="Arial" w:cs="Arial"/>
          <w:sz w:val="24"/>
          <w:szCs w:val="24"/>
        </w:rPr>
        <w:t xml:space="preserve"> and </w:t>
      </w:r>
      <w:proofErr w:type="spellStart"/>
      <w:r w:rsidR="002B2A5A" w:rsidRPr="002B2A5A">
        <w:rPr>
          <w:rFonts w:ascii="Arial" w:hAnsi="Arial" w:cs="Arial"/>
          <w:sz w:val="24"/>
          <w:szCs w:val="24"/>
        </w:rPr>
        <w:t>corporate</w:t>
      </w:r>
      <w:proofErr w:type="spellEnd"/>
      <w:r w:rsidR="002B2A5A" w:rsidRPr="002B2A5A">
        <w:rPr>
          <w:rFonts w:ascii="Arial" w:hAnsi="Arial" w:cs="Arial"/>
          <w:sz w:val="24"/>
          <w:szCs w:val="24"/>
        </w:rPr>
        <w:t xml:space="preserve"> </w:t>
      </w:r>
      <w:proofErr w:type="spellStart"/>
      <w:proofErr w:type="gramStart"/>
      <w:r w:rsidR="002B2A5A" w:rsidRPr="002B2A5A">
        <w:rPr>
          <w:rFonts w:ascii="Arial" w:hAnsi="Arial" w:cs="Arial"/>
          <w:sz w:val="24"/>
          <w:szCs w:val="24"/>
        </w:rPr>
        <w:t>strategy</w:t>
      </w:r>
      <w:proofErr w:type="spellEnd"/>
      <w:r w:rsidR="002B2A5A" w:rsidRPr="002B2A5A">
        <w:rPr>
          <w:rFonts w:ascii="Arial" w:hAnsi="Arial" w:cs="Arial"/>
          <w:sz w:val="24"/>
          <w:szCs w:val="24"/>
        </w:rPr>
        <w:t>:</w:t>
      </w:r>
      <w:proofErr w:type="gramEnd"/>
      <w:r w:rsidR="002B2A5A" w:rsidRPr="002B2A5A">
        <w:rPr>
          <w:rFonts w:ascii="Arial" w:hAnsi="Arial" w:cs="Arial"/>
          <w:sz w:val="24"/>
          <w:szCs w:val="24"/>
        </w:rPr>
        <w:t xml:space="preserve"> The case of mergers and acquisitions</w:t>
      </w:r>
      <w:r w:rsidR="002B2A5A">
        <w:rPr>
          <w:rFonts w:ascii="Arial" w:hAnsi="Arial" w:cs="Arial"/>
          <w:sz w:val="24"/>
          <w:szCs w:val="24"/>
        </w:rPr>
        <w:t xml:space="preserve"> », </w:t>
      </w:r>
      <w:r w:rsidR="002B2A5A" w:rsidRPr="002B2A5A">
        <w:rPr>
          <w:rFonts w:ascii="Arial" w:hAnsi="Arial" w:cs="Arial"/>
          <w:i/>
          <w:iCs/>
          <w:sz w:val="24"/>
          <w:szCs w:val="24"/>
        </w:rPr>
        <w:t xml:space="preserve">Journal of </w:t>
      </w:r>
      <w:proofErr w:type="spellStart"/>
      <w:r w:rsidR="002B2A5A" w:rsidRPr="002B2A5A">
        <w:rPr>
          <w:rFonts w:ascii="Arial" w:hAnsi="Arial" w:cs="Arial"/>
          <w:i/>
          <w:iCs/>
          <w:sz w:val="24"/>
          <w:szCs w:val="24"/>
        </w:rPr>
        <w:t>Corporate</w:t>
      </w:r>
      <w:proofErr w:type="spellEnd"/>
      <w:r w:rsidR="002B2A5A" w:rsidRPr="002B2A5A">
        <w:rPr>
          <w:rFonts w:ascii="Arial" w:hAnsi="Arial" w:cs="Arial"/>
          <w:i/>
          <w:iCs/>
          <w:sz w:val="24"/>
          <w:szCs w:val="24"/>
        </w:rPr>
        <w:t xml:space="preserve"> Finance</w:t>
      </w:r>
      <w:r w:rsidR="002B2A5A">
        <w:rPr>
          <w:rFonts w:ascii="Arial" w:hAnsi="Arial" w:cs="Arial"/>
          <w:sz w:val="24"/>
          <w:szCs w:val="24"/>
        </w:rPr>
        <w:t xml:space="preserve">, </w:t>
      </w:r>
      <w:r w:rsidR="002B2A5A" w:rsidRPr="002B2A5A">
        <w:rPr>
          <w:rFonts w:ascii="Arial" w:hAnsi="Arial" w:cs="Arial"/>
          <w:sz w:val="24"/>
          <w:szCs w:val="24"/>
        </w:rPr>
        <w:t>Vol</w:t>
      </w:r>
      <w:r w:rsidR="002B2A5A">
        <w:rPr>
          <w:rFonts w:ascii="Arial" w:hAnsi="Arial" w:cs="Arial"/>
          <w:sz w:val="24"/>
          <w:szCs w:val="24"/>
        </w:rPr>
        <w:t>.</w:t>
      </w:r>
      <w:r w:rsidR="002B2A5A" w:rsidRPr="002B2A5A">
        <w:rPr>
          <w:rFonts w:ascii="Arial" w:hAnsi="Arial" w:cs="Arial"/>
          <w:sz w:val="24"/>
          <w:szCs w:val="24"/>
        </w:rPr>
        <w:t>48,</w:t>
      </w:r>
      <w:r w:rsidR="002B2A5A">
        <w:rPr>
          <w:rFonts w:ascii="Arial" w:hAnsi="Arial" w:cs="Arial"/>
          <w:sz w:val="24"/>
          <w:szCs w:val="24"/>
        </w:rPr>
        <w:t>pp.</w:t>
      </w:r>
      <w:r w:rsidR="002B2A5A" w:rsidRPr="002B2A5A">
        <w:rPr>
          <w:rFonts w:ascii="Arial" w:hAnsi="Arial" w:cs="Arial"/>
          <w:sz w:val="24"/>
          <w:szCs w:val="24"/>
        </w:rPr>
        <w:t xml:space="preserve"> 187-216</w:t>
      </w:r>
    </w:p>
    <w:p w14:paraId="76B1EE38" w14:textId="6558FF62" w:rsidR="00203C8F" w:rsidRDefault="00C8708A" w:rsidP="00C8708A">
      <w:pPr>
        <w:pStyle w:val="Paragraphedeliste"/>
        <w:numPr>
          <w:ilvl w:val="0"/>
          <w:numId w:val="5"/>
        </w:numPr>
        <w:spacing w:line="240" w:lineRule="auto"/>
        <w:jc w:val="both"/>
        <w:rPr>
          <w:rFonts w:ascii="Arial" w:hAnsi="Arial" w:cs="Arial"/>
          <w:sz w:val="24"/>
          <w:szCs w:val="24"/>
        </w:rPr>
      </w:pPr>
      <w:r w:rsidRPr="00C8708A">
        <w:rPr>
          <w:rFonts w:ascii="Arial" w:hAnsi="Arial" w:cs="Arial"/>
          <w:sz w:val="24"/>
          <w:szCs w:val="24"/>
        </w:rPr>
        <w:t>Cao L., Du Y., Hansen O.</w:t>
      </w:r>
      <w:r>
        <w:rPr>
          <w:rFonts w:ascii="Arial" w:hAnsi="Arial" w:cs="Arial"/>
          <w:sz w:val="24"/>
          <w:szCs w:val="24"/>
        </w:rPr>
        <w:t xml:space="preserve"> (2</w:t>
      </w:r>
      <w:r w:rsidRPr="00C8708A">
        <w:rPr>
          <w:rFonts w:ascii="Arial" w:hAnsi="Arial" w:cs="Arial"/>
          <w:sz w:val="24"/>
          <w:szCs w:val="24"/>
        </w:rPr>
        <w:t>017</w:t>
      </w:r>
      <w:r w:rsidR="00E417D0">
        <w:rPr>
          <w:rFonts w:ascii="Arial" w:hAnsi="Arial" w:cs="Arial"/>
          <w:sz w:val="24"/>
          <w:szCs w:val="24"/>
        </w:rPr>
        <w:t>), « </w:t>
      </w:r>
      <w:r w:rsidR="00694AAC" w:rsidRPr="00694AAC">
        <w:rPr>
          <w:rFonts w:ascii="Arial" w:hAnsi="Arial" w:cs="Arial"/>
          <w:sz w:val="24"/>
          <w:szCs w:val="24"/>
        </w:rPr>
        <w:t xml:space="preserve">« </w:t>
      </w:r>
      <w:proofErr w:type="spellStart"/>
      <w:r w:rsidR="00694AAC" w:rsidRPr="00694AAC">
        <w:rPr>
          <w:rFonts w:ascii="Arial" w:hAnsi="Arial" w:cs="Arial"/>
          <w:sz w:val="24"/>
          <w:szCs w:val="24"/>
        </w:rPr>
        <w:t>Foreign</w:t>
      </w:r>
      <w:proofErr w:type="spellEnd"/>
      <w:r w:rsidR="00694AAC" w:rsidRPr="00694AAC">
        <w:rPr>
          <w:rFonts w:ascii="Arial" w:hAnsi="Arial" w:cs="Arial"/>
          <w:sz w:val="24"/>
          <w:szCs w:val="24"/>
        </w:rPr>
        <w:t xml:space="preserve"> </w:t>
      </w:r>
      <w:proofErr w:type="spellStart"/>
      <w:r w:rsidR="00694AAC" w:rsidRPr="00694AAC">
        <w:rPr>
          <w:rFonts w:ascii="Arial" w:hAnsi="Arial" w:cs="Arial"/>
          <w:sz w:val="24"/>
          <w:szCs w:val="24"/>
        </w:rPr>
        <w:t>institutional</w:t>
      </w:r>
      <w:proofErr w:type="spellEnd"/>
      <w:r w:rsidR="00694AAC" w:rsidRPr="00694AAC">
        <w:rPr>
          <w:rFonts w:ascii="Arial" w:hAnsi="Arial" w:cs="Arial"/>
          <w:sz w:val="24"/>
          <w:szCs w:val="24"/>
        </w:rPr>
        <w:t xml:space="preserve"> </w:t>
      </w:r>
      <w:proofErr w:type="spellStart"/>
      <w:r w:rsidR="00694AAC" w:rsidRPr="00694AAC">
        <w:rPr>
          <w:rFonts w:ascii="Arial" w:hAnsi="Arial" w:cs="Arial"/>
          <w:sz w:val="24"/>
          <w:szCs w:val="24"/>
        </w:rPr>
        <w:t>investors</w:t>
      </w:r>
      <w:proofErr w:type="spellEnd"/>
      <w:r w:rsidR="00694AAC" w:rsidRPr="00694AAC">
        <w:rPr>
          <w:rFonts w:ascii="Arial" w:hAnsi="Arial" w:cs="Arial"/>
          <w:sz w:val="24"/>
          <w:szCs w:val="24"/>
        </w:rPr>
        <w:t xml:space="preserve"> and </w:t>
      </w:r>
      <w:proofErr w:type="spellStart"/>
      <w:r w:rsidR="00694AAC" w:rsidRPr="00694AAC">
        <w:rPr>
          <w:rFonts w:ascii="Arial" w:hAnsi="Arial" w:cs="Arial"/>
          <w:sz w:val="24"/>
          <w:szCs w:val="24"/>
        </w:rPr>
        <w:t>dividend</w:t>
      </w:r>
      <w:proofErr w:type="spellEnd"/>
      <w:r w:rsidR="00694AAC" w:rsidRPr="00694AAC">
        <w:rPr>
          <w:rFonts w:ascii="Arial" w:hAnsi="Arial" w:cs="Arial"/>
          <w:sz w:val="24"/>
          <w:szCs w:val="24"/>
        </w:rPr>
        <w:t xml:space="preserve"> </w:t>
      </w:r>
      <w:proofErr w:type="spellStart"/>
      <w:proofErr w:type="gramStart"/>
      <w:r w:rsidR="00694AAC" w:rsidRPr="00694AAC">
        <w:rPr>
          <w:rFonts w:ascii="Arial" w:hAnsi="Arial" w:cs="Arial"/>
          <w:sz w:val="24"/>
          <w:szCs w:val="24"/>
        </w:rPr>
        <w:t>policy</w:t>
      </w:r>
      <w:proofErr w:type="spellEnd"/>
      <w:r w:rsidR="00694AAC" w:rsidRPr="00694AAC">
        <w:rPr>
          <w:rFonts w:ascii="Arial" w:hAnsi="Arial" w:cs="Arial"/>
          <w:sz w:val="24"/>
          <w:szCs w:val="24"/>
        </w:rPr>
        <w:t>:</w:t>
      </w:r>
      <w:proofErr w:type="gramEnd"/>
      <w:r w:rsidR="00694AAC" w:rsidRPr="00694AAC">
        <w:rPr>
          <w:rFonts w:ascii="Arial" w:hAnsi="Arial" w:cs="Arial"/>
          <w:sz w:val="24"/>
          <w:szCs w:val="24"/>
        </w:rPr>
        <w:t xml:space="preserve"> Evidence </w:t>
      </w:r>
      <w:proofErr w:type="spellStart"/>
      <w:r w:rsidR="00694AAC" w:rsidRPr="00694AAC">
        <w:rPr>
          <w:rFonts w:ascii="Arial" w:hAnsi="Arial" w:cs="Arial"/>
          <w:sz w:val="24"/>
          <w:szCs w:val="24"/>
        </w:rPr>
        <w:t>from</w:t>
      </w:r>
      <w:proofErr w:type="spellEnd"/>
      <w:r w:rsidR="00694AAC" w:rsidRPr="00694AAC">
        <w:rPr>
          <w:rFonts w:ascii="Arial" w:hAnsi="Arial" w:cs="Arial"/>
          <w:sz w:val="24"/>
          <w:szCs w:val="24"/>
        </w:rPr>
        <w:t xml:space="preserve"> China », </w:t>
      </w:r>
      <w:r w:rsidR="00694AAC" w:rsidRPr="00694AAC">
        <w:rPr>
          <w:rFonts w:ascii="Arial" w:hAnsi="Arial" w:cs="Arial"/>
          <w:i/>
          <w:iCs/>
          <w:sz w:val="24"/>
          <w:szCs w:val="24"/>
        </w:rPr>
        <w:t xml:space="preserve">International Business </w:t>
      </w:r>
      <w:proofErr w:type="spellStart"/>
      <w:r w:rsidR="00694AAC" w:rsidRPr="00694AAC">
        <w:rPr>
          <w:rFonts w:ascii="Arial" w:hAnsi="Arial" w:cs="Arial"/>
          <w:i/>
          <w:iCs/>
          <w:sz w:val="24"/>
          <w:szCs w:val="24"/>
        </w:rPr>
        <w:t>Review</w:t>
      </w:r>
      <w:proofErr w:type="spellEnd"/>
      <w:r w:rsidR="00694AAC" w:rsidRPr="00694AAC">
        <w:rPr>
          <w:rFonts w:ascii="Arial" w:hAnsi="Arial" w:cs="Arial"/>
          <w:sz w:val="24"/>
          <w:szCs w:val="24"/>
        </w:rPr>
        <w:t>, Vol.26, n°5, pp.816-827</w:t>
      </w:r>
    </w:p>
    <w:p w14:paraId="0B917F6A" w14:textId="562483DD" w:rsidR="00D064F2" w:rsidRDefault="00D064F2" w:rsidP="00C8708A">
      <w:pPr>
        <w:pStyle w:val="Paragraphedeliste"/>
        <w:numPr>
          <w:ilvl w:val="0"/>
          <w:numId w:val="5"/>
        </w:numPr>
        <w:spacing w:line="240" w:lineRule="auto"/>
        <w:jc w:val="both"/>
        <w:rPr>
          <w:rFonts w:ascii="Arial" w:hAnsi="Arial" w:cs="Arial"/>
          <w:sz w:val="24"/>
          <w:szCs w:val="24"/>
        </w:rPr>
      </w:pPr>
      <w:r>
        <w:rPr>
          <w:rFonts w:ascii="Arial" w:hAnsi="Arial" w:cs="Arial"/>
          <w:sz w:val="24"/>
          <w:szCs w:val="24"/>
        </w:rPr>
        <w:t>Chen X., Austin J. (2007), « </w:t>
      </w:r>
      <w:r w:rsidR="008D6A6F" w:rsidRPr="008D6A6F">
        <w:rPr>
          <w:rFonts w:ascii="Arial" w:hAnsi="Arial" w:cs="Arial"/>
          <w:sz w:val="24"/>
          <w:szCs w:val="24"/>
        </w:rPr>
        <w:t>Re-</w:t>
      </w:r>
      <w:proofErr w:type="spellStart"/>
      <w:r w:rsidR="008D6A6F" w:rsidRPr="008D6A6F">
        <w:rPr>
          <w:rFonts w:ascii="Arial" w:hAnsi="Arial" w:cs="Arial"/>
          <w:sz w:val="24"/>
          <w:szCs w:val="24"/>
        </w:rPr>
        <w:t>measuring</w:t>
      </w:r>
      <w:proofErr w:type="spellEnd"/>
      <w:r w:rsidR="008D6A6F" w:rsidRPr="008D6A6F">
        <w:rPr>
          <w:rFonts w:ascii="Arial" w:hAnsi="Arial" w:cs="Arial"/>
          <w:sz w:val="24"/>
          <w:szCs w:val="24"/>
        </w:rPr>
        <w:t xml:space="preserve"> </w:t>
      </w:r>
      <w:proofErr w:type="spellStart"/>
      <w:r w:rsidR="008D6A6F" w:rsidRPr="008D6A6F">
        <w:rPr>
          <w:rFonts w:ascii="Arial" w:hAnsi="Arial" w:cs="Arial"/>
          <w:sz w:val="24"/>
          <w:szCs w:val="24"/>
        </w:rPr>
        <w:t>agency</w:t>
      </w:r>
      <w:proofErr w:type="spellEnd"/>
      <w:r w:rsidR="008D6A6F" w:rsidRPr="008D6A6F">
        <w:rPr>
          <w:rFonts w:ascii="Arial" w:hAnsi="Arial" w:cs="Arial"/>
          <w:sz w:val="24"/>
          <w:szCs w:val="24"/>
        </w:rPr>
        <w:t xml:space="preserve"> </w:t>
      </w:r>
      <w:proofErr w:type="spellStart"/>
      <w:proofErr w:type="gramStart"/>
      <w:r w:rsidR="008D6A6F" w:rsidRPr="008D6A6F">
        <w:rPr>
          <w:rFonts w:ascii="Arial" w:hAnsi="Arial" w:cs="Arial"/>
          <w:sz w:val="24"/>
          <w:szCs w:val="24"/>
        </w:rPr>
        <w:t>costs</w:t>
      </w:r>
      <w:proofErr w:type="spellEnd"/>
      <w:r w:rsidR="008D6A6F" w:rsidRPr="008D6A6F">
        <w:rPr>
          <w:rFonts w:ascii="Arial" w:hAnsi="Arial" w:cs="Arial"/>
          <w:sz w:val="24"/>
          <w:szCs w:val="24"/>
        </w:rPr>
        <w:t>:</w:t>
      </w:r>
      <w:proofErr w:type="gramEnd"/>
      <w:r w:rsidR="008D6A6F" w:rsidRPr="008D6A6F">
        <w:rPr>
          <w:rFonts w:ascii="Arial" w:hAnsi="Arial" w:cs="Arial"/>
          <w:sz w:val="24"/>
          <w:szCs w:val="24"/>
        </w:rPr>
        <w:t xml:space="preserve"> The </w:t>
      </w:r>
      <w:proofErr w:type="spellStart"/>
      <w:r w:rsidR="008D6A6F" w:rsidRPr="008D6A6F">
        <w:rPr>
          <w:rFonts w:ascii="Arial" w:hAnsi="Arial" w:cs="Arial"/>
          <w:sz w:val="24"/>
          <w:szCs w:val="24"/>
        </w:rPr>
        <w:t>effectiveness</w:t>
      </w:r>
      <w:proofErr w:type="spellEnd"/>
      <w:r w:rsidR="008D6A6F" w:rsidRPr="008D6A6F">
        <w:rPr>
          <w:rFonts w:ascii="Arial" w:hAnsi="Arial" w:cs="Arial"/>
          <w:sz w:val="24"/>
          <w:szCs w:val="24"/>
        </w:rPr>
        <w:t xml:space="preserve"> of </w:t>
      </w:r>
      <w:proofErr w:type="spellStart"/>
      <w:r w:rsidR="008D6A6F" w:rsidRPr="008D6A6F">
        <w:rPr>
          <w:rFonts w:ascii="Arial" w:hAnsi="Arial" w:cs="Arial"/>
          <w:sz w:val="24"/>
          <w:szCs w:val="24"/>
        </w:rPr>
        <w:t>blockholders</w:t>
      </w:r>
      <w:proofErr w:type="spellEnd"/>
      <w:r w:rsidR="008D6A6F">
        <w:rPr>
          <w:rFonts w:ascii="Arial" w:hAnsi="Arial" w:cs="Arial"/>
          <w:sz w:val="24"/>
          <w:szCs w:val="24"/>
        </w:rPr>
        <w:t xml:space="preserve"> », </w:t>
      </w:r>
      <w:r w:rsidR="008D6A6F" w:rsidRPr="008D6A6F">
        <w:rPr>
          <w:rFonts w:ascii="Arial" w:hAnsi="Arial" w:cs="Arial"/>
          <w:i/>
          <w:iCs/>
          <w:sz w:val="24"/>
          <w:szCs w:val="24"/>
        </w:rPr>
        <w:t xml:space="preserve">The </w:t>
      </w:r>
      <w:proofErr w:type="spellStart"/>
      <w:r w:rsidR="008D6A6F" w:rsidRPr="008D6A6F">
        <w:rPr>
          <w:rFonts w:ascii="Arial" w:hAnsi="Arial" w:cs="Arial"/>
          <w:i/>
          <w:iCs/>
          <w:sz w:val="24"/>
          <w:szCs w:val="24"/>
        </w:rPr>
        <w:t>Quarterly</w:t>
      </w:r>
      <w:proofErr w:type="spellEnd"/>
      <w:r w:rsidR="008D6A6F" w:rsidRPr="008D6A6F">
        <w:rPr>
          <w:rFonts w:ascii="Arial" w:hAnsi="Arial" w:cs="Arial"/>
          <w:i/>
          <w:iCs/>
          <w:sz w:val="24"/>
          <w:szCs w:val="24"/>
        </w:rPr>
        <w:t xml:space="preserve"> </w:t>
      </w:r>
      <w:proofErr w:type="spellStart"/>
      <w:r w:rsidR="008D6A6F" w:rsidRPr="008D6A6F">
        <w:rPr>
          <w:rFonts w:ascii="Arial" w:hAnsi="Arial" w:cs="Arial"/>
          <w:i/>
          <w:iCs/>
          <w:sz w:val="24"/>
          <w:szCs w:val="24"/>
        </w:rPr>
        <w:t>Review</w:t>
      </w:r>
      <w:proofErr w:type="spellEnd"/>
      <w:r w:rsidR="008D6A6F" w:rsidRPr="008D6A6F">
        <w:rPr>
          <w:rFonts w:ascii="Arial" w:hAnsi="Arial" w:cs="Arial"/>
          <w:i/>
          <w:iCs/>
          <w:sz w:val="24"/>
          <w:szCs w:val="24"/>
        </w:rPr>
        <w:t xml:space="preserve"> of </w:t>
      </w:r>
      <w:proofErr w:type="spellStart"/>
      <w:r w:rsidR="008D6A6F" w:rsidRPr="008D6A6F">
        <w:rPr>
          <w:rFonts w:ascii="Arial" w:hAnsi="Arial" w:cs="Arial"/>
          <w:i/>
          <w:iCs/>
          <w:sz w:val="24"/>
          <w:szCs w:val="24"/>
        </w:rPr>
        <w:t>Economics</w:t>
      </w:r>
      <w:proofErr w:type="spellEnd"/>
      <w:r w:rsidR="008D6A6F" w:rsidRPr="008D6A6F">
        <w:rPr>
          <w:rFonts w:ascii="Arial" w:hAnsi="Arial" w:cs="Arial"/>
          <w:i/>
          <w:iCs/>
          <w:sz w:val="24"/>
          <w:szCs w:val="24"/>
        </w:rPr>
        <w:t xml:space="preserve"> and Finance</w:t>
      </w:r>
      <w:r w:rsidR="008D6A6F">
        <w:rPr>
          <w:rFonts w:ascii="Arial" w:hAnsi="Arial" w:cs="Arial"/>
          <w:sz w:val="24"/>
          <w:szCs w:val="24"/>
        </w:rPr>
        <w:t>, Vol.47, n°5, pp.</w:t>
      </w:r>
      <w:r w:rsidR="001852B4">
        <w:rPr>
          <w:rFonts w:ascii="Arial" w:hAnsi="Arial" w:cs="Arial"/>
          <w:sz w:val="24"/>
          <w:szCs w:val="24"/>
        </w:rPr>
        <w:t>588-601</w:t>
      </w:r>
    </w:p>
    <w:p w14:paraId="51E39BF0" w14:textId="7B7BC9D2" w:rsidR="00792125" w:rsidRDefault="00792125" w:rsidP="00C8708A">
      <w:pPr>
        <w:pStyle w:val="Paragraphedeliste"/>
        <w:numPr>
          <w:ilvl w:val="0"/>
          <w:numId w:val="5"/>
        </w:numPr>
        <w:spacing w:line="240" w:lineRule="auto"/>
        <w:jc w:val="both"/>
        <w:rPr>
          <w:rFonts w:ascii="Arial" w:hAnsi="Arial" w:cs="Arial"/>
          <w:sz w:val="24"/>
          <w:szCs w:val="24"/>
        </w:rPr>
      </w:pPr>
      <w:r>
        <w:rPr>
          <w:rFonts w:ascii="Arial" w:hAnsi="Arial" w:cs="Arial"/>
          <w:sz w:val="24"/>
          <w:szCs w:val="24"/>
        </w:rPr>
        <w:t xml:space="preserve">Comet C., </w:t>
      </w:r>
      <w:proofErr w:type="spellStart"/>
      <w:r>
        <w:rPr>
          <w:rFonts w:ascii="Arial" w:hAnsi="Arial" w:cs="Arial"/>
          <w:sz w:val="24"/>
          <w:szCs w:val="24"/>
        </w:rPr>
        <w:t>Finez</w:t>
      </w:r>
      <w:proofErr w:type="spellEnd"/>
      <w:r>
        <w:rPr>
          <w:rFonts w:ascii="Arial" w:hAnsi="Arial" w:cs="Arial"/>
          <w:sz w:val="24"/>
          <w:szCs w:val="24"/>
        </w:rPr>
        <w:t xml:space="preserve"> J. (20</w:t>
      </w:r>
      <w:r w:rsidR="00935F10">
        <w:rPr>
          <w:rFonts w:ascii="Arial" w:hAnsi="Arial" w:cs="Arial"/>
          <w:sz w:val="24"/>
          <w:szCs w:val="24"/>
        </w:rPr>
        <w:t>10</w:t>
      </w:r>
      <w:r>
        <w:rPr>
          <w:rFonts w:ascii="Arial" w:hAnsi="Arial" w:cs="Arial"/>
          <w:sz w:val="24"/>
          <w:szCs w:val="24"/>
        </w:rPr>
        <w:t>), « </w:t>
      </w:r>
      <w:r w:rsidR="00935F10" w:rsidRPr="00935F10">
        <w:rPr>
          <w:rFonts w:ascii="Arial" w:hAnsi="Arial" w:cs="Arial"/>
          <w:sz w:val="24"/>
          <w:szCs w:val="24"/>
        </w:rPr>
        <w:t>Le cœur de l'élite patronale</w:t>
      </w:r>
      <w:r w:rsidR="00935F10">
        <w:rPr>
          <w:rFonts w:ascii="Arial" w:hAnsi="Arial" w:cs="Arial"/>
          <w:sz w:val="24"/>
          <w:szCs w:val="24"/>
        </w:rPr>
        <w:t xml:space="preserve"> », </w:t>
      </w:r>
      <w:r w:rsidR="00935F10" w:rsidRPr="00E71B08">
        <w:rPr>
          <w:rFonts w:ascii="Arial" w:hAnsi="Arial" w:cs="Arial"/>
          <w:i/>
          <w:iCs/>
          <w:sz w:val="24"/>
          <w:szCs w:val="24"/>
        </w:rPr>
        <w:t>Sociologies pratiques</w:t>
      </w:r>
      <w:r w:rsidR="00935F10">
        <w:rPr>
          <w:rFonts w:ascii="Arial" w:hAnsi="Arial" w:cs="Arial"/>
          <w:sz w:val="24"/>
          <w:szCs w:val="24"/>
        </w:rPr>
        <w:t>, Vol.2, n°21, pp.</w:t>
      </w:r>
      <w:r w:rsidR="00E71B08">
        <w:rPr>
          <w:rFonts w:ascii="Arial" w:hAnsi="Arial" w:cs="Arial"/>
          <w:sz w:val="24"/>
          <w:szCs w:val="24"/>
        </w:rPr>
        <w:t>49-66</w:t>
      </w:r>
    </w:p>
    <w:p w14:paraId="17824BAD" w14:textId="5B981443" w:rsidR="00702873" w:rsidRDefault="00702873" w:rsidP="00C8708A">
      <w:pPr>
        <w:pStyle w:val="Paragraphedeliste"/>
        <w:numPr>
          <w:ilvl w:val="0"/>
          <w:numId w:val="5"/>
        </w:numPr>
        <w:spacing w:line="240" w:lineRule="auto"/>
        <w:jc w:val="both"/>
        <w:rPr>
          <w:rFonts w:ascii="Arial" w:hAnsi="Arial" w:cs="Arial"/>
          <w:sz w:val="24"/>
          <w:szCs w:val="24"/>
        </w:rPr>
      </w:pPr>
      <w:r>
        <w:rPr>
          <w:rFonts w:ascii="Arial" w:hAnsi="Arial" w:cs="Arial"/>
          <w:sz w:val="24"/>
          <w:szCs w:val="24"/>
        </w:rPr>
        <w:t>Del Vecchio N. (2010), « </w:t>
      </w:r>
      <w:r w:rsidR="00512C8D" w:rsidRPr="00512C8D">
        <w:rPr>
          <w:rFonts w:ascii="Arial" w:hAnsi="Arial" w:cs="Arial"/>
          <w:sz w:val="24"/>
          <w:szCs w:val="24"/>
        </w:rPr>
        <w:t>Réseaux de conseils d'administration et adoption de pratiques de gouvernance d'entreprise</w:t>
      </w:r>
      <w:r w:rsidR="00512C8D">
        <w:rPr>
          <w:rFonts w:ascii="Arial" w:hAnsi="Arial" w:cs="Arial"/>
          <w:sz w:val="24"/>
          <w:szCs w:val="24"/>
        </w:rPr>
        <w:t xml:space="preserve"> », </w:t>
      </w:r>
      <w:r w:rsidR="00512C8D" w:rsidRPr="002B0E69">
        <w:rPr>
          <w:rFonts w:ascii="Arial" w:hAnsi="Arial" w:cs="Arial"/>
          <w:i/>
          <w:iCs/>
          <w:sz w:val="24"/>
          <w:szCs w:val="24"/>
        </w:rPr>
        <w:t>Revue Française de Gestion</w:t>
      </w:r>
      <w:r w:rsidR="00512C8D">
        <w:rPr>
          <w:rFonts w:ascii="Arial" w:hAnsi="Arial" w:cs="Arial"/>
          <w:sz w:val="24"/>
          <w:szCs w:val="24"/>
        </w:rPr>
        <w:t>, Vol.3, n°202, pp.</w:t>
      </w:r>
      <w:r w:rsidR="002B0E69">
        <w:rPr>
          <w:rFonts w:ascii="Arial" w:hAnsi="Arial" w:cs="Arial"/>
          <w:sz w:val="24"/>
          <w:szCs w:val="24"/>
        </w:rPr>
        <w:t>145-161</w:t>
      </w:r>
    </w:p>
    <w:p w14:paraId="25F10688" w14:textId="591516D4" w:rsidR="001856C6" w:rsidRDefault="001856C6" w:rsidP="00C8708A">
      <w:pPr>
        <w:pStyle w:val="Paragraphedeliste"/>
        <w:numPr>
          <w:ilvl w:val="0"/>
          <w:numId w:val="5"/>
        </w:numPr>
        <w:spacing w:line="240" w:lineRule="auto"/>
        <w:jc w:val="both"/>
        <w:rPr>
          <w:rFonts w:ascii="Arial" w:hAnsi="Arial" w:cs="Arial"/>
          <w:sz w:val="24"/>
          <w:szCs w:val="24"/>
        </w:rPr>
      </w:pPr>
      <w:proofErr w:type="spellStart"/>
      <w:r>
        <w:rPr>
          <w:rFonts w:ascii="Arial" w:hAnsi="Arial" w:cs="Arial"/>
          <w:sz w:val="24"/>
          <w:szCs w:val="24"/>
        </w:rPr>
        <w:t>Ducassy</w:t>
      </w:r>
      <w:proofErr w:type="spellEnd"/>
      <w:r>
        <w:rPr>
          <w:rFonts w:ascii="Arial" w:hAnsi="Arial" w:cs="Arial"/>
          <w:sz w:val="24"/>
          <w:szCs w:val="24"/>
        </w:rPr>
        <w:t xml:space="preserve"> L., Guyot A. (2017), « </w:t>
      </w:r>
      <w:proofErr w:type="spellStart"/>
      <w:r w:rsidR="003A311C" w:rsidRPr="003A311C">
        <w:rPr>
          <w:rFonts w:ascii="Arial" w:hAnsi="Arial" w:cs="Arial"/>
          <w:sz w:val="24"/>
          <w:szCs w:val="24"/>
        </w:rPr>
        <w:t>Complex</w:t>
      </w:r>
      <w:proofErr w:type="spellEnd"/>
      <w:r w:rsidR="003A311C" w:rsidRPr="003A311C">
        <w:rPr>
          <w:rFonts w:ascii="Arial" w:hAnsi="Arial" w:cs="Arial"/>
          <w:sz w:val="24"/>
          <w:szCs w:val="24"/>
        </w:rPr>
        <w:t xml:space="preserve"> </w:t>
      </w:r>
      <w:proofErr w:type="spellStart"/>
      <w:r w:rsidR="003A311C" w:rsidRPr="003A311C">
        <w:rPr>
          <w:rFonts w:ascii="Arial" w:hAnsi="Arial" w:cs="Arial"/>
          <w:sz w:val="24"/>
          <w:szCs w:val="24"/>
        </w:rPr>
        <w:t>ownership</w:t>
      </w:r>
      <w:proofErr w:type="spellEnd"/>
      <w:r w:rsidR="003A311C" w:rsidRPr="003A311C">
        <w:rPr>
          <w:rFonts w:ascii="Arial" w:hAnsi="Arial" w:cs="Arial"/>
          <w:sz w:val="24"/>
          <w:szCs w:val="24"/>
        </w:rPr>
        <w:t xml:space="preserve"> structures, </w:t>
      </w:r>
      <w:proofErr w:type="spellStart"/>
      <w:r w:rsidR="003A311C" w:rsidRPr="003A311C">
        <w:rPr>
          <w:rFonts w:ascii="Arial" w:hAnsi="Arial" w:cs="Arial"/>
          <w:sz w:val="24"/>
          <w:szCs w:val="24"/>
        </w:rPr>
        <w:t>corporate</w:t>
      </w:r>
      <w:proofErr w:type="spellEnd"/>
      <w:r w:rsidR="003A311C" w:rsidRPr="003A311C">
        <w:rPr>
          <w:rFonts w:ascii="Arial" w:hAnsi="Arial" w:cs="Arial"/>
          <w:sz w:val="24"/>
          <w:szCs w:val="24"/>
        </w:rPr>
        <w:t xml:space="preserve"> </w:t>
      </w:r>
      <w:proofErr w:type="spellStart"/>
      <w:r w:rsidR="003A311C" w:rsidRPr="003A311C">
        <w:rPr>
          <w:rFonts w:ascii="Arial" w:hAnsi="Arial" w:cs="Arial"/>
          <w:sz w:val="24"/>
          <w:szCs w:val="24"/>
        </w:rPr>
        <w:t>governance</w:t>
      </w:r>
      <w:proofErr w:type="spellEnd"/>
      <w:r w:rsidR="003A311C" w:rsidRPr="003A311C">
        <w:rPr>
          <w:rFonts w:ascii="Arial" w:hAnsi="Arial" w:cs="Arial"/>
          <w:sz w:val="24"/>
          <w:szCs w:val="24"/>
        </w:rPr>
        <w:t xml:space="preserve"> and </w:t>
      </w:r>
      <w:proofErr w:type="spellStart"/>
      <w:r w:rsidR="003A311C" w:rsidRPr="003A311C">
        <w:rPr>
          <w:rFonts w:ascii="Arial" w:hAnsi="Arial" w:cs="Arial"/>
          <w:sz w:val="24"/>
          <w:szCs w:val="24"/>
        </w:rPr>
        <w:t>firm</w:t>
      </w:r>
      <w:proofErr w:type="spellEnd"/>
      <w:r w:rsidR="003A311C" w:rsidRPr="003A311C">
        <w:rPr>
          <w:rFonts w:ascii="Arial" w:hAnsi="Arial" w:cs="Arial"/>
          <w:sz w:val="24"/>
          <w:szCs w:val="24"/>
        </w:rPr>
        <w:t xml:space="preserve"> </w:t>
      </w:r>
      <w:r w:rsidR="00481A39" w:rsidRPr="003A311C">
        <w:rPr>
          <w:rFonts w:ascii="Arial" w:hAnsi="Arial" w:cs="Arial"/>
          <w:sz w:val="24"/>
          <w:szCs w:val="24"/>
        </w:rPr>
        <w:t>performance :</w:t>
      </w:r>
      <w:r w:rsidR="003A311C" w:rsidRPr="003A311C">
        <w:rPr>
          <w:rFonts w:ascii="Arial" w:hAnsi="Arial" w:cs="Arial"/>
          <w:sz w:val="24"/>
          <w:szCs w:val="24"/>
        </w:rPr>
        <w:t xml:space="preserve"> The French </w:t>
      </w:r>
      <w:proofErr w:type="spellStart"/>
      <w:r w:rsidR="003A311C" w:rsidRPr="003A311C">
        <w:rPr>
          <w:rFonts w:ascii="Arial" w:hAnsi="Arial" w:cs="Arial"/>
          <w:sz w:val="24"/>
          <w:szCs w:val="24"/>
        </w:rPr>
        <w:t>context</w:t>
      </w:r>
      <w:proofErr w:type="spellEnd"/>
      <w:r w:rsidR="003A311C">
        <w:rPr>
          <w:rFonts w:ascii="Arial" w:hAnsi="Arial" w:cs="Arial"/>
          <w:sz w:val="24"/>
          <w:szCs w:val="24"/>
        </w:rPr>
        <w:t xml:space="preserve"> », </w:t>
      </w:r>
      <w:proofErr w:type="spellStart"/>
      <w:r w:rsidR="003A311C" w:rsidRPr="003A311C">
        <w:rPr>
          <w:rFonts w:ascii="Arial" w:hAnsi="Arial" w:cs="Arial"/>
          <w:i/>
          <w:iCs/>
          <w:sz w:val="24"/>
          <w:szCs w:val="24"/>
        </w:rPr>
        <w:t>Research</w:t>
      </w:r>
      <w:proofErr w:type="spellEnd"/>
      <w:r w:rsidR="003A311C" w:rsidRPr="003A311C">
        <w:rPr>
          <w:rFonts w:ascii="Arial" w:hAnsi="Arial" w:cs="Arial"/>
          <w:i/>
          <w:iCs/>
          <w:sz w:val="24"/>
          <w:szCs w:val="24"/>
        </w:rPr>
        <w:t xml:space="preserve"> in International Business and Finance</w:t>
      </w:r>
      <w:r w:rsidR="003A311C">
        <w:rPr>
          <w:rFonts w:ascii="Arial" w:hAnsi="Arial" w:cs="Arial"/>
          <w:sz w:val="24"/>
          <w:szCs w:val="24"/>
        </w:rPr>
        <w:t xml:space="preserve">, </w:t>
      </w:r>
      <w:r w:rsidR="00481A39">
        <w:rPr>
          <w:rFonts w:ascii="Arial" w:hAnsi="Arial" w:cs="Arial"/>
          <w:sz w:val="24"/>
          <w:szCs w:val="24"/>
        </w:rPr>
        <w:t>Vol.39, pp.291-306</w:t>
      </w:r>
    </w:p>
    <w:p w14:paraId="1919B07D" w14:textId="459D9945" w:rsidR="00E4593B" w:rsidRDefault="00E4593B" w:rsidP="00C8708A">
      <w:pPr>
        <w:pStyle w:val="Paragraphedeliste"/>
        <w:numPr>
          <w:ilvl w:val="0"/>
          <w:numId w:val="5"/>
        </w:numPr>
        <w:spacing w:line="240" w:lineRule="auto"/>
        <w:jc w:val="both"/>
        <w:rPr>
          <w:rFonts w:ascii="Arial" w:hAnsi="Arial" w:cs="Arial"/>
          <w:sz w:val="24"/>
          <w:szCs w:val="24"/>
        </w:rPr>
      </w:pPr>
      <w:bookmarkStart w:id="1" w:name="_Hlk55916238"/>
      <w:r w:rsidRPr="00E4593B">
        <w:rPr>
          <w:rFonts w:ascii="Arial" w:hAnsi="Arial" w:cs="Arial"/>
          <w:sz w:val="24"/>
          <w:szCs w:val="24"/>
        </w:rPr>
        <w:t xml:space="preserve">Gharbi H. et </w:t>
      </w:r>
      <w:proofErr w:type="spellStart"/>
      <w:r w:rsidRPr="00E4593B">
        <w:rPr>
          <w:rFonts w:ascii="Arial" w:hAnsi="Arial" w:cs="Arial"/>
          <w:sz w:val="24"/>
          <w:szCs w:val="24"/>
        </w:rPr>
        <w:t>Sahut</w:t>
      </w:r>
      <w:proofErr w:type="spellEnd"/>
      <w:r w:rsidRPr="00E4593B">
        <w:rPr>
          <w:rFonts w:ascii="Arial" w:hAnsi="Arial" w:cs="Arial"/>
          <w:sz w:val="24"/>
          <w:szCs w:val="24"/>
        </w:rPr>
        <w:t xml:space="preserve"> J. (2010), </w:t>
      </w:r>
      <w:bookmarkEnd w:id="1"/>
      <w:r w:rsidRPr="00E4593B">
        <w:rPr>
          <w:rFonts w:ascii="Arial" w:hAnsi="Arial" w:cs="Arial"/>
          <w:sz w:val="24"/>
          <w:szCs w:val="24"/>
        </w:rPr>
        <w:t xml:space="preserve">« Activisme des investisseurs institutionnels : cadre général et facteurs d'influence », </w:t>
      </w:r>
      <w:r w:rsidRPr="00E4593B">
        <w:rPr>
          <w:rFonts w:ascii="Arial" w:hAnsi="Arial" w:cs="Arial"/>
          <w:i/>
          <w:iCs/>
          <w:sz w:val="24"/>
          <w:szCs w:val="24"/>
        </w:rPr>
        <w:t>La Revue des Sciences de Gestion</w:t>
      </w:r>
      <w:r w:rsidRPr="00E4593B">
        <w:rPr>
          <w:rFonts w:ascii="Arial" w:hAnsi="Arial" w:cs="Arial"/>
          <w:sz w:val="24"/>
          <w:szCs w:val="24"/>
        </w:rPr>
        <w:t>, Vol.3-4, n°243-244, pp. 25-33</w:t>
      </w:r>
    </w:p>
    <w:p w14:paraId="4D11D38A" w14:textId="09125D98" w:rsidR="00E73DDE" w:rsidRDefault="00E73DDE" w:rsidP="00C8708A">
      <w:pPr>
        <w:pStyle w:val="Paragraphedeliste"/>
        <w:numPr>
          <w:ilvl w:val="0"/>
          <w:numId w:val="5"/>
        </w:numPr>
        <w:spacing w:line="240" w:lineRule="auto"/>
        <w:jc w:val="both"/>
        <w:rPr>
          <w:rFonts w:ascii="Arial" w:hAnsi="Arial" w:cs="Arial"/>
          <w:sz w:val="24"/>
          <w:szCs w:val="24"/>
        </w:rPr>
      </w:pPr>
      <w:proofErr w:type="spellStart"/>
      <w:r>
        <w:rPr>
          <w:rFonts w:ascii="Arial" w:hAnsi="Arial" w:cs="Arial"/>
          <w:sz w:val="24"/>
          <w:szCs w:val="24"/>
        </w:rPr>
        <w:t>Glossner</w:t>
      </w:r>
      <w:proofErr w:type="spellEnd"/>
      <w:r>
        <w:rPr>
          <w:rFonts w:ascii="Arial" w:hAnsi="Arial" w:cs="Arial"/>
          <w:sz w:val="24"/>
          <w:szCs w:val="24"/>
        </w:rPr>
        <w:t xml:space="preserve"> S. (2019), « </w:t>
      </w:r>
      <w:proofErr w:type="spellStart"/>
      <w:r w:rsidR="005E6B09" w:rsidRPr="005E6B09">
        <w:rPr>
          <w:rFonts w:ascii="Arial" w:hAnsi="Arial" w:cs="Arial"/>
          <w:sz w:val="24"/>
          <w:szCs w:val="24"/>
        </w:rPr>
        <w:t>Investor</w:t>
      </w:r>
      <w:proofErr w:type="spellEnd"/>
      <w:r w:rsidR="005E6B09" w:rsidRPr="005E6B09">
        <w:rPr>
          <w:rFonts w:ascii="Arial" w:hAnsi="Arial" w:cs="Arial"/>
          <w:sz w:val="24"/>
          <w:szCs w:val="24"/>
        </w:rPr>
        <w:t xml:space="preserve"> horizons, long-</w:t>
      </w:r>
      <w:proofErr w:type="spellStart"/>
      <w:r w:rsidR="005E6B09" w:rsidRPr="005E6B09">
        <w:rPr>
          <w:rFonts w:ascii="Arial" w:hAnsi="Arial" w:cs="Arial"/>
          <w:sz w:val="24"/>
          <w:szCs w:val="24"/>
        </w:rPr>
        <w:t>term</w:t>
      </w:r>
      <w:proofErr w:type="spellEnd"/>
      <w:r w:rsidR="005E6B09" w:rsidRPr="005E6B09">
        <w:rPr>
          <w:rFonts w:ascii="Arial" w:hAnsi="Arial" w:cs="Arial"/>
          <w:sz w:val="24"/>
          <w:szCs w:val="24"/>
        </w:rPr>
        <w:t xml:space="preserve"> </w:t>
      </w:r>
      <w:proofErr w:type="spellStart"/>
      <w:r w:rsidR="005E6B09" w:rsidRPr="005E6B09">
        <w:rPr>
          <w:rFonts w:ascii="Arial" w:hAnsi="Arial" w:cs="Arial"/>
          <w:sz w:val="24"/>
          <w:szCs w:val="24"/>
        </w:rPr>
        <w:t>blockholders</w:t>
      </w:r>
      <w:proofErr w:type="spellEnd"/>
      <w:r w:rsidR="005E6B09" w:rsidRPr="005E6B09">
        <w:rPr>
          <w:rFonts w:ascii="Arial" w:hAnsi="Arial" w:cs="Arial"/>
          <w:sz w:val="24"/>
          <w:szCs w:val="24"/>
        </w:rPr>
        <w:t xml:space="preserve">, and </w:t>
      </w:r>
      <w:proofErr w:type="spellStart"/>
      <w:r w:rsidR="005E6B09" w:rsidRPr="005E6B09">
        <w:rPr>
          <w:rFonts w:ascii="Arial" w:hAnsi="Arial" w:cs="Arial"/>
          <w:sz w:val="24"/>
          <w:szCs w:val="24"/>
        </w:rPr>
        <w:t>corporate</w:t>
      </w:r>
      <w:proofErr w:type="spellEnd"/>
      <w:r w:rsidR="005E6B09" w:rsidRPr="005E6B09">
        <w:rPr>
          <w:rFonts w:ascii="Arial" w:hAnsi="Arial" w:cs="Arial"/>
          <w:sz w:val="24"/>
          <w:szCs w:val="24"/>
        </w:rPr>
        <w:t xml:space="preserve"> social </w:t>
      </w:r>
      <w:proofErr w:type="spellStart"/>
      <w:r w:rsidR="005E6B09" w:rsidRPr="005E6B09">
        <w:rPr>
          <w:rFonts w:ascii="Arial" w:hAnsi="Arial" w:cs="Arial"/>
          <w:sz w:val="24"/>
          <w:szCs w:val="24"/>
        </w:rPr>
        <w:t>responsibility</w:t>
      </w:r>
      <w:proofErr w:type="spellEnd"/>
      <w:r w:rsidR="005E6B09">
        <w:rPr>
          <w:rFonts w:ascii="Arial" w:hAnsi="Arial" w:cs="Arial"/>
          <w:sz w:val="24"/>
          <w:szCs w:val="24"/>
        </w:rPr>
        <w:t xml:space="preserve"> », </w:t>
      </w:r>
      <w:r w:rsidR="005E6B09" w:rsidRPr="00F670DE">
        <w:rPr>
          <w:rFonts w:ascii="Arial" w:hAnsi="Arial" w:cs="Arial"/>
          <w:i/>
          <w:iCs/>
          <w:sz w:val="24"/>
          <w:szCs w:val="24"/>
        </w:rPr>
        <w:t>Journal of Banking &amp; Finance</w:t>
      </w:r>
      <w:r w:rsidR="005E6B09">
        <w:rPr>
          <w:rFonts w:ascii="Arial" w:hAnsi="Arial" w:cs="Arial"/>
          <w:sz w:val="24"/>
          <w:szCs w:val="24"/>
        </w:rPr>
        <w:t>, Vol.</w:t>
      </w:r>
      <w:r w:rsidR="00F670DE">
        <w:rPr>
          <w:rFonts w:ascii="Arial" w:hAnsi="Arial" w:cs="Arial"/>
          <w:sz w:val="24"/>
          <w:szCs w:val="24"/>
        </w:rPr>
        <w:t>103, pp.78-97</w:t>
      </w:r>
    </w:p>
    <w:p w14:paraId="11D6DCEA" w14:textId="1FC31A24" w:rsidR="00CD1D57" w:rsidRPr="00CD1D57" w:rsidRDefault="00CD1D57" w:rsidP="00CD1D57">
      <w:pPr>
        <w:pStyle w:val="Paragraphedeliste"/>
        <w:numPr>
          <w:ilvl w:val="0"/>
          <w:numId w:val="5"/>
        </w:numPr>
        <w:spacing w:line="240" w:lineRule="auto"/>
        <w:jc w:val="both"/>
        <w:rPr>
          <w:rFonts w:ascii="Arial" w:hAnsi="Arial" w:cs="Arial"/>
          <w:sz w:val="24"/>
          <w:szCs w:val="24"/>
        </w:rPr>
      </w:pPr>
      <w:r w:rsidRPr="00CE12A9">
        <w:rPr>
          <w:rFonts w:ascii="Arial" w:hAnsi="Arial" w:cs="Arial"/>
          <w:sz w:val="24"/>
          <w:szCs w:val="24"/>
        </w:rPr>
        <w:t xml:space="preserve">Han L., Zheng Q., Yin L. (2015), « Do </w:t>
      </w:r>
      <w:proofErr w:type="spellStart"/>
      <w:r w:rsidRPr="00CE12A9">
        <w:rPr>
          <w:rFonts w:ascii="Arial" w:hAnsi="Arial" w:cs="Arial"/>
          <w:sz w:val="24"/>
          <w:szCs w:val="24"/>
        </w:rPr>
        <w:t>foreign</w:t>
      </w:r>
      <w:proofErr w:type="spellEnd"/>
      <w:r w:rsidRPr="00CE12A9">
        <w:rPr>
          <w:rFonts w:ascii="Arial" w:hAnsi="Arial" w:cs="Arial"/>
          <w:sz w:val="24"/>
          <w:szCs w:val="24"/>
        </w:rPr>
        <w:t xml:space="preserve"> </w:t>
      </w:r>
      <w:proofErr w:type="spellStart"/>
      <w:r w:rsidRPr="00CE12A9">
        <w:rPr>
          <w:rFonts w:ascii="Arial" w:hAnsi="Arial" w:cs="Arial"/>
          <w:sz w:val="24"/>
          <w:szCs w:val="24"/>
        </w:rPr>
        <w:t>institutional</w:t>
      </w:r>
      <w:proofErr w:type="spellEnd"/>
      <w:r w:rsidRPr="00CE12A9">
        <w:rPr>
          <w:rFonts w:ascii="Arial" w:hAnsi="Arial" w:cs="Arial"/>
          <w:sz w:val="24"/>
          <w:szCs w:val="24"/>
        </w:rPr>
        <w:t xml:space="preserve"> </w:t>
      </w:r>
      <w:proofErr w:type="spellStart"/>
      <w:r w:rsidRPr="00CE12A9">
        <w:rPr>
          <w:rFonts w:ascii="Arial" w:hAnsi="Arial" w:cs="Arial"/>
          <w:sz w:val="24"/>
          <w:szCs w:val="24"/>
        </w:rPr>
        <w:t>investors</w:t>
      </w:r>
      <w:proofErr w:type="spellEnd"/>
      <w:r w:rsidRPr="00CE12A9">
        <w:rPr>
          <w:rFonts w:ascii="Arial" w:hAnsi="Arial" w:cs="Arial"/>
          <w:sz w:val="24"/>
          <w:szCs w:val="24"/>
        </w:rPr>
        <w:t xml:space="preserve"> </w:t>
      </w:r>
      <w:proofErr w:type="spellStart"/>
      <w:r w:rsidRPr="00CE12A9">
        <w:rPr>
          <w:rFonts w:ascii="Arial" w:hAnsi="Arial" w:cs="Arial"/>
          <w:sz w:val="24"/>
          <w:szCs w:val="24"/>
        </w:rPr>
        <w:t>stabilize</w:t>
      </w:r>
      <w:proofErr w:type="spellEnd"/>
      <w:r w:rsidRPr="00CE12A9">
        <w:rPr>
          <w:rFonts w:ascii="Arial" w:hAnsi="Arial" w:cs="Arial"/>
          <w:sz w:val="24"/>
          <w:szCs w:val="24"/>
        </w:rPr>
        <w:t xml:space="preserve"> the capital </w:t>
      </w:r>
      <w:proofErr w:type="spellStart"/>
      <w:r w:rsidRPr="00CE12A9">
        <w:rPr>
          <w:rFonts w:ascii="Arial" w:hAnsi="Arial" w:cs="Arial"/>
          <w:sz w:val="24"/>
          <w:szCs w:val="24"/>
        </w:rPr>
        <w:t>market</w:t>
      </w:r>
      <w:proofErr w:type="spellEnd"/>
      <w:r w:rsidRPr="00CE12A9">
        <w:rPr>
          <w:rFonts w:ascii="Arial" w:hAnsi="Arial" w:cs="Arial"/>
          <w:sz w:val="24"/>
          <w:szCs w:val="24"/>
        </w:rPr>
        <w:t xml:space="preserve"> ? », </w:t>
      </w:r>
      <w:proofErr w:type="spellStart"/>
      <w:r w:rsidRPr="00CE12A9">
        <w:rPr>
          <w:rFonts w:ascii="Arial" w:hAnsi="Arial" w:cs="Arial"/>
          <w:i/>
          <w:iCs/>
          <w:sz w:val="24"/>
          <w:szCs w:val="24"/>
        </w:rPr>
        <w:t>Economics</w:t>
      </w:r>
      <w:proofErr w:type="spellEnd"/>
      <w:r w:rsidRPr="00CE12A9">
        <w:rPr>
          <w:rFonts w:ascii="Arial" w:hAnsi="Arial" w:cs="Arial"/>
          <w:i/>
          <w:iCs/>
          <w:sz w:val="24"/>
          <w:szCs w:val="24"/>
        </w:rPr>
        <w:t xml:space="preserve"> </w:t>
      </w:r>
      <w:proofErr w:type="spellStart"/>
      <w:r w:rsidRPr="00CE12A9">
        <w:rPr>
          <w:rFonts w:ascii="Arial" w:hAnsi="Arial" w:cs="Arial"/>
          <w:i/>
          <w:iCs/>
          <w:sz w:val="24"/>
          <w:szCs w:val="24"/>
        </w:rPr>
        <w:t>Letters</w:t>
      </w:r>
      <w:proofErr w:type="spellEnd"/>
      <w:r w:rsidRPr="00CE12A9">
        <w:rPr>
          <w:rFonts w:ascii="Arial" w:hAnsi="Arial" w:cs="Arial"/>
          <w:sz w:val="24"/>
          <w:szCs w:val="24"/>
        </w:rPr>
        <w:t>, Vol.136, pp.73-75</w:t>
      </w:r>
    </w:p>
    <w:p w14:paraId="05558CD8" w14:textId="74FF04C2" w:rsidR="001A7BA2" w:rsidRDefault="001A7BA2" w:rsidP="00C8708A">
      <w:pPr>
        <w:pStyle w:val="Paragraphedeliste"/>
        <w:numPr>
          <w:ilvl w:val="0"/>
          <w:numId w:val="5"/>
        </w:numPr>
        <w:spacing w:line="240" w:lineRule="auto"/>
        <w:jc w:val="both"/>
        <w:rPr>
          <w:rFonts w:ascii="Arial" w:hAnsi="Arial" w:cs="Arial"/>
          <w:sz w:val="24"/>
          <w:szCs w:val="24"/>
        </w:rPr>
      </w:pPr>
      <w:r>
        <w:rPr>
          <w:rFonts w:ascii="Arial" w:hAnsi="Arial" w:cs="Arial"/>
          <w:sz w:val="24"/>
          <w:szCs w:val="24"/>
        </w:rPr>
        <w:t xml:space="preserve">Ho J., Huang C., </w:t>
      </w:r>
      <w:proofErr w:type="spellStart"/>
      <w:r>
        <w:rPr>
          <w:rFonts w:ascii="Arial" w:hAnsi="Arial" w:cs="Arial"/>
          <w:sz w:val="24"/>
          <w:szCs w:val="24"/>
        </w:rPr>
        <w:t>Karuna</w:t>
      </w:r>
      <w:proofErr w:type="spellEnd"/>
      <w:r>
        <w:rPr>
          <w:rFonts w:ascii="Arial" w:hAnsi="Arial" w:cs="Arial"/>
          <w:sz w:val="24"/>
          <w:szCs w:val="24"/>
        </w:rPr>
        <w:t xml:space="preserve"> C. (2019),</w:t>
      </w:r>
      <w:r w:rsidR="006C1F96">
        <w:rPr>
          <w:rFonts w:ascii="Arial" w:hAnsi="Arial" w:cs="Arial"/>
          <w:sz w:val="24"/>
          <w:szCs w:val="24"/>
        </w:rPr>
        <w:t xml:space="preserve"> «</w:t>
      </w:r>
      <w:r w:rsidR="006C1F96" w:rsidRPr="00342C31">
        <w:rPr>
          <w:rFonts w:ascii="Arial" w:hAnsi="Arial" w:cs="Arial"/>
          <w:sz w:val="24"/>
          <w:szCs w:val="24"/>
        </w:rPr>
        <w:t xml:space="preserve"> Large</w:t>
      </w:r>
      <w:r w:rsidR="00342C31" w:rsidRPr="00342C31">
        <w:rPr>
          <w:rFonts w:ascii="Arial" w:hAnsi="Arial" w:cs="Arial"/>
          <w:sz w:val="24"/>
          <w:szCs w:val="24"/>
        </w:rPr>
        <w:t xml:space="preserve"> </w:t>
      </w:r>
      <w:proofErr w:type="spellStart"/>
      <w:r w:rsidR="00342C31" w:rsidRPr="00342C31">
        <w:rPr>
          <w:rFonts w:ascii="Arial" w:hAnsi="Arial" w:cs="Arial"/>
          <w:sz w:val="24"/>
          <w:szCs w:val="24"/>
        </w:rPr>
        <w:t>shareholder</w:t>
      </w:r>
      <w:proofErr w:type="spellEnd"/>
      <w:r w:rsidR="00342C31" w:rsidRPr="00342C31">
        <w:rPr>
          <w:rFonts w:ascii="Arial" w:hAnsi="Arial" w:cs="Arial"/>
          <w:sz w:val="24"/>
          <w:szCs w:val="24"/>
        </w:rPr>
        <w:t xml:space="preserve"> </w:t>
      </w:r>
      <w:proofErr w:type="spellStart"/>
      <w:r w:rsidR="00342C31" w:rsidRPr="00342C31">
        <w:rPr>
          <w:rFonts w:ascii="Arial" w:hAnsi="Arial" w:cs="Arial"/>
          <w:sz w:val="24"/>
          <w:szCs w:val="24"/>
        </w:rPr>
        <w:t>ownership</w:t>
      </w:r>
      <w:proofErr w:type="spellEnd"/>
      <w:r w:rsidR="00342C31" w:rsidRPr="00342C31">
        <w:rPr>
          <w:rFonts w:ascii="Arial" w:hAnsi="Arial" w:cs="Arial"/>
          <w:sz w:val="24"/>
          <w:szCs w:val="24"/>
        </w:rPr>
        <w:t xml:space="preserve"> types and </w:t>
      </w:r>
      <w:proofErr w:type="spellStart"/>
      <w:r w:rsidR="00342C31" w:rsidRPr="00342C31">
        <w:rPr>
          <w:rFonts w:ascii="Arial" w:hAnsi="Arial" w:cs="Arial"/>
          <w:sz w:val="24"/>
          <w:szCs w:val="24"/>
        </w:rPr>
        <w:t>board</w:t>
      </w:r>
      <w:proofErr w:type="spellEnd"/>
      <w:r w:rsidR="00342C31" w:rsidRPr="00342C31">
        <w:rPr>
          <w:rFonts w:ascii="Arial" w:hAnsi="Arial" w:cs="Arial"/>
          <w:sz w:val="24"/>
          <w:szCs w:val="24"/>
        </w:rPr>
        <w:t xml:space="preserve"> </w:t>
      </w:r>
      <w:proofErr w:type="spellStart"/>
      <w:r w:rsidR="00342C31" w:rsidRPr="00342C31">
        <w:rPr>
          <w:rFonts w:ascii="Arial" w:hAnsi="Arial" w:cs="Arial"/>
          <w:sz w:val="24"/>
          <w:szCs w:val="24"/>
        </w:rPr>
        <w:t>governanc</w:t>
      </w:r>
      <w:r w:rsidR="00342C31">
        <w:rPr>
          <w:rFonts w:ascii="Arial" w:hAnsi="Arial" w:cs="Arial"/>
          <w:sz w:val="24"/>
          <w:szCs w:val="24"/>
        </w:rPr>
        <w:t>e</w:t>
      </w:r>
      <w:proofErr w:type="spellEnd"/>
      <w:r w:rsidR="00342C31">
        <w:rPr>
          <w:rFonts w:ascii="Arial" w:hAnsi="Arial" w:cs="Arial"/>
          <w:sz w:val="24"/>
          <w:szCs w:val="24"/>
        </w:rPr>
        <w:t xml:space="preserve"> », </w:t>
      </w:r>
      <w:r w:rsidR="008D08D1" w:rsidRPr="00047AA2">
        <w:rPr>
          <w:rFonts w:ascii="Arial" w:hAnsi="Arial" w:cs="Arial"/>
          <w:i/>
          <w:iCs/>
          <w:sz w:val="24"/>
          <w:szCs w:val="24"/>
        </w:rPr>
        <w:t xml:space="preserve">Journal of </w:t>
      </w:r>
      <w:proofErr w:type="spellStart"/>
      <w:r w:rsidR="008D08D1" w:rsidRPr="00047AA2">
        <w:rPr>
          <w:rFonts w:ascii="Arial" w:hAnsi="Arial" w:cs="Arial"/>
          <w:i/>
          <w:iCs/>
          <w:sz w:val="24"/>
          <w:szCs w:val="24"/>
        </w:rPr>
        <w:t>Corporate</w:t>
      </w:r>
      <w:proofErr w:type="spellEnd"/>
      <w:r w:rsidR="008D08D1" w:rsidRPr="00047AA2">
        <w:rPr>
          <w:rFonts w:ascii="Arial" w:hAnsi="Arial" w:cs="Arial"/>
          <w:i/>
          <w:iCs/>
          <w:sz w:val="24"/>
          <w:szCs w:val="24"/>
        </w:rPr>
        <w:t xml:space="preserve"> Finance</w:t>
      </w:r>
      <w:r w:rsidR="008D08D1">
        <w:rPr>
          <w:rFonts w:ascii="Arial" w:hAnsi="Arial" w:cs="Arial"/>
          <w:sz w:val="24"/>
          <w:szCs w:val="24"/>
        </w:rPr>
        <w:t>, Vol.</w:t>
      </w:r>
      <w:r w:rsidR="00660465">
        <w:rPr>
          <w:rFonts w:ascii="Arial" w:hAnsi="Arial" w:cs="Arial"/>
          <w:sz w:val="24"/>
          <w:szCs w:val="24"/>
        </w:rPr>
        <w:t>65</w:t>
      </w:r>
    </w:p>
    <w:p w14:paraId="546539AF" w14:textId="65923382" w:rsidR="009C6E3A" w:rsidRDefault="009C6E3A" w:rsidP="00C8708A">
      <w:pPr>
        <w:pStyle w:val="Paragraphedeliste"/>
        <w:numPr>
          <w:ilvl w:val="0"/>
          <w:numId w:val="5"/>
        </w:numPr>
        <w:spacing w:line="240" w:lineRule="auto"/>
        <w:jc w:val="both"/>
        <w:rPr>
          <w:rFonts w:ascii="Arial" w:hAnsi="Arial" w:cs="Arial"/>
          <w:sz w:val="24"/>
          <w:szCs w:val="24"/>
        </w:rPr>
      </w:pPr>
      <w:r w:rsidRPr="009C6E3A">
        <w:rPr>
          <w:rFonts w:ascii="Arial" w:hAnsi="Arial" w:cs="Arial"/>
          <w:sz w:val="24"/>
          <w:szCs w:val="24"/>
        </w:rPr>
        <w:t xml:space="preserve">Kim W., Kim W., </w:t>
      </w:r>
      <w:proofErr w:type="spellStart"/>
      <w:r w:rsidRPr="009C6E3A">
        <w:rPr>
          <w:rFonts w:ascii="Arial" w:hAnsi="Arial" w:cs="Arial"/>
          <w:sz w:val="24"/>
          <w:szCs w:val="24"/>
        </w:rPr>
        <w:t>Kwon</w:t>
      </w:r>
      <w:proofErr w:type="spellEnd"/>
      <w:r w:rsidRPr="009C6E3A">
        <w:rPr>
          <w:rFonts w:ascii="Arial" w:hAnsi="Arial" w:cs="Arial"/>
          <w:sz w:val="24"/>
          <w:szCs w:val="24"/>
        </w:rPr>
        <w:t xml:space="preserve"> K.</w:t>
      </w:r>
      <w:r>
        <w:rPr>
          <w:rFonts w:ascii="Arial" w:hAnsi="Arial" w:cs="Arial"/>
          <w:sz w:val="24"/>
          <w:szCs w:val="24"/>
        </w:rPr>
        <w:t xml:space="preserve"> (2009), </w:t>
      </w:r>
      <w:r w:rsidR="0093611C">
        <w:rPr>
          <w:rFonts w:ascii="Arial" w:hAnsi="Arial" w:cs="Arial"/>
          <w:sz w:val="24"/>
          <w:szCs w:val="24"/>
        </w:rPr>
        <w:t>« </w:t>
      </w:r>
      <w:r w:rsidR="0093611C" w:rsidRPr="0093611C">
        <w:rPr>
          <w:rFonts w:ascii="Arial" w:hAnsi="Arial" w:cs="Arial"/>
          <w:sz w:val="24"/>
          <w:szCs w:val="24"/>
        </w:rPr>
        <w:t xml:space="preserve">Value of </w:t>
      </w:r>
      <w:proofErr w:type="spellStart"/>
      <w:r w:rsidR="0093611C" w:rsidRPr="0093611C">
        <w:rPr>
          <w:rFonts w:ascii="Arial" w:hAnsi="Arial" w:cs="Arial"/>
          <w:sz w:val="24"/>
          <w:szCs w:val="24"/>
        </w:rPr>
        <w:t>outside</w:t>
      </w:r>
      <w:proofErr w:type="spellEnd"/>
      <w:r w:rsidR="0093611C" w:rsidRPr="0093611C">
        <w:rPr>
          <w:rFonts w:ascii="Arial" w:hAnsi="Arial" w:cs="Arial"/>
          <w:sz w:val="24"/>
          <w:szCs w:val="24"/>
        </w:rPr>
        <w:t xml:space="preserve"> </w:t>
      </w:r>
      <w:proofErr w:type="spellStart"/>
      <w:r w:rsidR="0093611C" w:rsidRPr="0093611C">
        <w:rPr>
          <w:rFonts w:ascii="Arial" w:hAnsi="Arial" w:cs="Arial"/>
          <w:sz w:val="24"/>
          <w:szCs w:val="24"/>
        </w:rPr>
        <w:t>blockholder</w:t>
      </w:r>
      <w:proofErr w:type="spellEnd"/>
      <w:r w:rsidR="0093611C" w:rsidRPr="0093611C">
        <w:rPr>
          <w:rFonts w:ascii="Arial" w:hAnsi="Arial" w:cs="Arial"/>
          <w:sz w:val="24"/>
          <w:szCs w:val="24"/>
        </w:rPr>
        <w:t xml:space="preserve"> </w:t>
      </w:r>
      <w:proofErr w:type="spellStart"/>
      <w:proofErr w:type="gramStart"/>
      <w:r w:rsidR="0093611C" w:rsidRPr="0093611C">
        <w:rPr>
          <w:rFonts w:ascii="Arial" w:hAnsi="Arial" w:cs="Arial"/>
          <w:sz w:val="24"/>
          <w:szCs w:val="24"/>
        </w:rPr>
        <w:t>activism</w:t>
      </w:r>
      <w:proofErr w:type="spellEnd"/>
      <w:r w:rsidR="0093611C" w:rsidRPr="0093611C">
        <w:rPr>
          <w:rFonts w:ascii="Arial" w:hAnsi="Arial" w:cs="Arial"/>
          <w:sz w:val="24"/>
          <w:szCs w:val="24"/>
        </w:rPr>
        <w:t>:</w:t>
      </w:r>
      <w:proofErr w:type="gramEnd"/>
      <w:r w:rsidR="0093611C" w:rsidRPr="0093611C">
        <w:rPr>
          <w:rFonts w:ascii="Arial" w:hAnsi="Arial" w:cs="Arial"/>
          <w:sz w:val="24"/>
          <w:szCs w:val="24"/>
        </w:rPr>
        <w:t xml:space="preserve"> Evidence </w:t>
      </w:r>
      <w:proofErr w:type="spellStart"/>
      <w:r w:rsidR="0093611C" w:rsidRPr="0093611C">
        <w:rPr>
          <w:rFonts w:ascii="Arial" w:hAnsi="Arial" w:cs="Arial"/>
          <w:sz w:val="24"/>
          <w:szCs w:val="24"/>
        </w:rPr>
        <w:t>from</w:t>
      </w:r>
      <w:proofErr w:type="spellEnd"/>
      <w:r w:rsidR="0093611C" w:rsidRPr="0093611C">
        <w:rPr>
          <w:rFonts w:ascii="Arial" w:hAnsi="Arial" w:cs="Arial"/>
          <w:sz w:val="24"/>
          <w:szCs w:val="24"/>
        </w:rPr>
        <w:t xml:space="preserve"> the switchers</w:t>
      </w:r>
      <w:r w:rsidR="0093611C">
        <w:rPr>
          <w:rFonts w:ascii="Arial" w:hAnsi="Arial" w:cs="Arial"/>
          <w:sz w:val="24"/>
          <w:szCs w:val="24"/>
        </w:rPr>
        <w:t xml:space="preserve"> », </w:t>
      </w:r>
      <w:r w:rsidR="00510F7D" w:rsidRPr="0085328A">
        <w:rPr>
          <w:rFonts w:ascii="Arial" w:hAnsi="Arial" w:cs="Arial"/>
          <w:i/>
          <w:iCs/>
          <w:sz w:val="24"/>
          <w:szCs w:val="24"/>
        </w:rPr>
        <w:t xml:space="preserve">Journal of </w:t>
      </w:r>
      <w:proofErr w:type="spellStart"/>
      <w:r w:rsidR="00510F7D" w:rsidRPr="0085328A">
        <w:rPr>
          <w:rFonts w:ascii="Arial" w:hAnsi="Arial" w:cs="Arial"/>
          <w:i/>
          <w:iCs/>
          <w:sz w:val="24"/>
          <w:szCs w:val="24"/>
        </w:rPr>
        <w:t>Corporate</w:t>
      </w:r>
      <w:proofErr w:type="spellEnd"/>
      <w:r w:rsidR="00510F7D" w:rsidRPr="0085328A">
        <w:rPr>
          <w:rFonts w:ascii="Arial" w:hAnsi="Arial" w:cs="Arial"/>
          <w:i/>
          <w:iCs/>
          <w:sz w:val="24"/>
          <w:szCs w:val="24"/>
        </w:rPr>
        <w:t xml:space="preserve"> Finance</w:t>
      </w:r>
      <w:r w:rsidR="00510F7D">
        <w:rPr>
          <w:rFonts w:ascii="Arial" w:hAnsi="Arial" w:cs="Arial"/>
          <w:sz w:val="24"/>
          <w:szCs w:val="24"/>
        </w:rPr>
        <w:t>, Vol.</w:t>
      </w:r>
      <w:r w:rsidR="0085328A">
        <w:rPr>
          <w:rFonts w:ascii="Arial" w:hAnsi="Arial" w:cs="Arial"/>
          <w:sz w:val="24"/>
          <w:szCs w:val="24"/>
        </w:rPr>
        <w:t>15, n°4, pp.505-522</w:t>
      </w:r>
    </w:p>
    <w:p w14:paraId="34CEF0BF" w14:textId="45E3BAC2" w:rsidR="00A2154A" w:rsidRDefault="00A2154A" w:rsidP="00C8708A">
      <w:pPr>
        <w:pStyle w:val="Paragraphedeliste"/>
        <w:numPr>
          <w:ilvl w:val="0"/>
          <w:numId w:val="5"/>
        </w:numPr>
        <w:spacing w:line="240" w:lineRule="auto"/>
        <w:jc w:val="both"/>
        <w:rPr>
          <w:rFonts w:ascii="Arial" w:hAnsi="Arial" w:cs="Arial"/>
          <w:sz w:val="24"/>
          <w:szCs w:val="24"/>
        </w:rPr>
      </w:pPr>
      <w:proofErr w:type="spellStart"/>
      <w:r>
        <w:rPr>
          <w:rFonts w:ascii="Arial" w:hAnsi="Arial" w:cs="Arial"/>
          <w:sz w:val="24"/>
          <w:szCs w:val="24"/>
        </w:rPr>
        <w:t>Korpela</w:t>
      </w:r>
      <w:proofErr w:type="spellEnd"/>
      <w:r>
        <w:rPr>
          <w:rFonts w:ascii="Arial" w:hAnsi="Arial" w:cs="Arial"/>
          <w:sz w:val="24"/>
          <w:szCs w:val="24"/>
        </w:rPr>
        <w:t xml:space="preserve"> V., Lombardi M., </w:t>
      </w:r>
      <w:proofErr w:type="spellStart"/>
      <w:r>
        <w:rPr>
          <w:rFonts w:ascii="Arial" w:hAnsi="Arial" w:cs="Arial"/>
          <w:sz w:val="24"/>
          <w:szCs w:val="24"/>
        </w:rPr>
        <w:t>Vartiainen</w:t>
      </w:r>
      <w:proofErr w:type="spellEnd"/>
      <w:r>
        <w:rPr>
          <w:rFonts w:ascii="Arial" w:hAnsi="Arial" w:cs="Arial"/>
          <w:sz w:val="24"/>
          <w:szCs w:val="24"/>
        </w:rPr>
        <w:t xml:space="preserve"> H. (20</w:t>
      </w:r>
      <w:r w:rsidR="009E27C7">
        <w:rPr>
          <w:rFonts w:ascii="Arial" w:hAnsi="Arial" w:cs="Arial"/>
          <w:sz w:val="24"/>
          <w:szCs w:val="24"/>
        </w:rPr>
        <w:t>20</w:t>
      </w:r>
      <w:r>
        <w:rPr>
          <w:rFonts w:ascii="Arial" w:hAnsi="Arial" w:cs="Arial"/>
          <w:sz w:val="24"/>
          <w:szCs w:val="24"/>
        </w:rPr>
        <w:t>), « </w:t>
      </w:r>
      <w:r w:rsidR="00B52499" w:rsidRPr="00B52499">
        <w:rPr>
          <w:rFonts w:ascii="Arial" w:hAnsi="Arial" w:cs="Arial"/>
          <w:sz w:val="24"/>
          <w:szCs w:val="24"/>
        </w:rPr>
        <w:t xml:space="preserve">Do coalitions </w:t>
      </w:r>
      <w:proofErr w:type="spellStart"/>
      <w:r w:rsidR="00B52499" w:rsidRPr="00B52499">
        <w:rPr>
          <w:rFonts w:ascii="Arial" w:hAnsi="Arial" w:cs="Arial"/>
          <w:sz w:val="24"/>
          <w:szCs w:val="24"/>
        </w:rPr>
        <w:t>matter</w:t>
      </w:r>
      <w:proofErr w:type="spellEnd"/>
      <w:r w:rsidR="00B52499" w:rsidRPr="00B52499">
        <w:rPr>
          <w:rFonts w:ascii="Arial" w:hAnsi="Arial" w:cs="Arial"/>
          <w:sz w:val="24"/>
          <w:szCs w:val="24"/>
        </w:rPr>
        <w:t xml:space="preserve"> in </w:t>
      </w:r>
      <w:proofErr w:type="spellStart"/>
      <w:r w:rsidR="00B52499" w:rsidRPr="00B52499">
        <w:rPr>
          <w:rFonts w:ascii="Arial" w:hAnsi="Arial" w:cs="Arial"/>
          <w:sz w:val="24"/>
          <w:szCs w:val="24"/>
        </w:rPr>
        <w:t>designing</w:t>
      </w:r>
      <w:proofErr w:type="spellEnd"/>
      <w:r w:rsidR="00B52499" w:rsidRPr="00B52499">
        <w:rPr>
          <w:rFonts w:ascii="Arial" w:hAnsi="Arial" w:cs="Arial"/>
          <w:sz w:val="24"/>
          <w:szCs w:val="24"/>
        </w:rPr>
        <w:t xml:space="preserve"> </w:t>
      </w:r>
      <w:r w:rsidR="006C1F96" w:rsidRPr="00B52499">
        <w:rPr>
          <w:rFonts w:ascii="Arial" w:hAnsi="Arial" w:cs="Arial"/>
          <w:sz w:val="24"/>
          <w:szCs w:val="24"/>
        </w:rPr>
        <w:t>institutions ?</w:t>
      </w:r>
      <w:r w:rsidR="00B52499">
        <w:rPr>
          <w:rFonts w:ascii="Arial" w:hAnsi="Arial" w:cs="Arial"/>
          <w:sz w:val="24"/>
          <w:szCs w:val="24"/>
        </w:rPr>
        <w:t xml:space="preserve"> », </w:t>
      </w:r>
      <w:r w:rsidR="009E27C7" w:rsidRPr="00016B8C">
        <w:rPr>
          <w:rFonts w:ascii="Arial" w:hAnsi="Arial" w:cs="Arial"/>
          <w:i/>
          <w:iCs/>
          <w:sz w:val="24"/>
          <w:szCs w:val="24"/>
        </w:rPr>
        <w:t xml:space="preserve">Journal of </w:t>
      </w:r>
      <w:proofErr w:type="spellStart"/>
      <w:r w:rsidR="009E27C7" w:rsidRPr="00016B8C">
        <w:rPr>
          <w:rFonts w:ascii="Arial" w:hAnsi="Arial" w:cs="Arial"/>
          <w:i/>
          <w:iCs/>
          <w:sz w:val="24"/>
          <w:szCs w:val="24"/>
        </w:rPr>
        <w:t>Economic</w:t>
      </w:r>
      <w:proofErr w:type="spellEnd"/>
      <w:r w:rsidR="009E27C7" w:rsidRPr="00016B8C">
        <w:rPr>
          <w:rFonts w:ascii="Arial" w:hAnsi="Arial" w:cs="Arial"/>
          <w:i/>
          <w:iCs/>
          <w:sz w:val="24"/>
          <w:szCs w:val="24"/>
        </w:rPr>
        <w:t xml:space="preserve"> Theory</w:t>
      </w:r>
      <w:r w:rsidR="009E27C7">
        <w:rPr>
          <w:rFonts w:ascii="Arial" w:hAnsi="Arial" w:cs="Arial"/>
          <w:sz w:val="24"/>
          <w:szCs w:val="24"/>
        </w:rPr>
        <w:t>, Vol.185</w:t>
      </w:r>
    </w:p>
    <w:p w14:paraId="4C808E46" w14:textId="5E808E5A" w:rsidR="007019A7" w:rsidRDefault="007019A7" w:rsidP="00566599">
      <w:pPr>
        <w:pStyle w:val="Paragraphedeliste"/>
        <w:numPr>
          <w:ilvl w:val="0"/>
          <w:numId w:val="5"/>
        </w:numPr>
        <w:jc w:val="both"/>
        <w:rPr>
          <w:rFonts w:ascii="Arial" w:hAnsi="Arial" w:cs="Arial"/>
          <w:sz w:val="24"/>
          <w:szCs w:val="24"/>
        </w:rPr>
      </w:pPr>
      <w:proofErr w:type="spellStart"/>
      <w:r w:rsidRPr="007019A7">
        <w:rPr>
          <w:rFonts w:ascii="Arial" w:hAnsi="Arial" w:cs="Arial"/>
          <w:sz w:val="24"/>
          <w:szCs w:val="24"/>
        </w:rPr>
        <w:t>Leech</w:t>
      </w:r>
      <w:proofErr w:type="spellEnd"/>
      <w:r w:rsidRPr="007019A7">
        <w:rPr>
          <w:rFonts w:ascii="Arial" w:hAnsi="Arial" w:cs="Arial"/>
          <w:sz w:val="24"/>
          <w:szCs w:val="24"/>
        </w:rPr>
        <w:t xml:space="preserve"> D., </w:t>
      </w:r>
      <w:proofErr w:type="spellStart"/>
      <w:r w:rsidRPr="007019A7">
        <w:rPr>
          <w:rFonts w:ascii="Arial" w:hAnsi="Arial" w:cs="Arial"/>
          <w:sz w:val="24"/>
          <w:szCs w:val="24"/>
        </w:rPr>
        <w:t>Manjon</w:t>
      </w:r>
      <w:proofErr w:type="spellEnd"/>
      <w:r w:rsidRPr="007019A7">
        <w:rPr>
          <w:rFonts w:ascii="Arial" w:hAnsi="Arial" w:cs="Arial"/>
          <w:sz w:val="24"/>
          <w:szCs w:val="24"/>
        </w:rPr>
        <w:t xml:space="preserve"> M. (2003),</w:t>
      </w:r>
      <w:proofErr w:type="gramStart"/>
      <w:r w:rsidRPr="007019A7">
        <w:rPr>
          <w:rFonts w:ascii="Arial" w:hAnsi="Arial" w:cs="Arial"/>
          <w:sz w:val="24"/>
          <w:szCs w:val="24"/>
        </w:rPr>
        <w:t xml:space="preserve"> «</w:t>
      </w:r>
      <w:proofErr w:type="spellStart"/>
      <w:r w:rsidRPr="007019A7">
        <w:rPr>
          <w:rFonts w:ascii="Arial" w:hAnsi="Arial" w:cs="Arial"/>
          <w:sz w:val="24"/>
          <w:szCs w:val="24"/>
        </w:rPr>
        <w:t>Corporate</w:t>
      </w:r>
      <w:proofErr w:type="spellEnd"/>
      <w:proofErr w:type="gramEnd"/>
      <w:r w:rsidRPr="007019A7">
        <w:rPr>
          <w:rFonts w:ascii="Arial" w:hAnsi="Arial" w:cs="Arial"/>
          <w:sz w:val="24"/>
          <w:szCs w:val="24"/>
        </w:rPr>
        <w:t xml:space="preserve"> </w:t>
      </w:r>
      <w:proofErr w:type="spellStart"/>
      <w:r w:rsidRPr="007019A7">
        <w:rPr>
          <w:rFonts w:ascii="Arial" w:hAnsi="Arial" w:cs="Arial"/>
          <w:sz w:val="24"/>
          <w:szCs w:val="24"/>
        </w:rPr>
        <w:t>governance</w:t>
      </w:r>
      <w:proofErr w:type="spellEnd"/>
      <w:r w:rsidRPr="007019A7">
        <w:rPr>
          <w:rFonts w:ascii="Arial" w:hAnsi="Arial" w:cs="Arial"/>
          <w:sz w:val="24"/>
          <w:szCs w:val="24"/>
        </w:rPr>
        <w:t xml:space="preserve"> and </w:t>
      </w:r>
      <w:proofErr w:type="spellStart"/>
      <w:r w:rsidRPr="007019A7">
        <w:rPr>
          <w:rFonts w:ascii="Arial" w:hAnsi="Arial" w:cs="Arial"/>
          <w:sz w:val="24"/>
          <w:szCs w:val="24"/>
        </w:rPr>
        <w:t>game</w:t>
      </w:r>
      <w:proofErr w:type="spellEnd"/>
      <w:r w:rsidRPr="007019A7">
        <w:rPr>
          <w:rFonts w:ascii="Arial" w:hAnsi="Arial" w:cs="Arial"/>
          <w:sz w:val="24"/>
          <w:szCs w:val="24"/>
        </w:rPr>
        <w:t xml:space="preserve"> </w:t>
      </w:r>
      <w:proofErr w:type="spellStart"/>
      <w:r w:rsidRPr="007019A7">
        <w:rPr>
          <w:rFonts w:ascii="Arial" w:hAnsi="Arial" w:cs="Arial"/>
          <w:sz w:val="24"/>
          <w:szCs w:val="24"/>
        </w:rPr>
        <w:t>theoretic</w:t>
      </w:r>
      <w:proofErr w:type="spellEnd"/>
      <w:r w:rsidRPr="007019A7">
        <w:rPr>
          <w:rFonts w:ascii="Arial" w:hAnsi="Arial" w:cs="Arial"/>
          <w:sz w:val="24"/>
          <w:szCs w:val="24"/>
        </w:rPr>
        <w:t xml:space="preserve"> analyses of </w:t>
      </w:r>
      <w:proofErr w:type="spellStart"/>
      <w:r w:rsidRPr="007019A7">
        <w:rPr>
          <w:rFonts w:ascii="Arial" w:hAnsi="Arial" w:cs="Arial"/>
          <w:sz w:val="24"/>
          <w:szCs w:val="24"/>
        </w:rPr>
        <w:t>shareholder</w:t>
      </w:r>
      <w:proofErr w:type="spellEnd"/>
      <w:r w:rsidRPr="007019A7">
        <w:rPr>
          <w:rFonts w:ascii="Arial" w:hAnsi="Arial" w:cs="Arial"/>
          <w:sz w:val="24"/>
          <w:szCs w:val="24"/>
        </w:rPr>
        <w:t xml:space="preserve"> power: the case of Spain », </w:t>
      </w:r>
      <w:proofErr w:type="spellStart"/>
      <w:r w:rsidRPr="00566599">
        <w:rPr>
          <w:rFonts w:ascii="Arial" w:hAnsi="Arial" w:cs="Arial"/>
          <w:i/>
          <w:iCs/>
          <w:sz w:val="24"/>
          <w:szCs w:val="24"/>
        </w:rPr>
        <w:t>Applied</w:t>
      </w:r>
      <w:proofErr w:type="spellEnd"/>
      <w:r w:rsidRPr="00566599">
        <w:rPr>
          <w:rFonts w:ascii="Arial" w:hAnsi="Arial" w:cs="Arial"/>
          <w:i/>
          <w:iCs/>
          <w:sz w:val="24"/>
          <w:szCs w:val="24"/>
        </w:rPr>
        <w:t xml:space="preserve"> </w:t>
      </w:r>
      <w:proofErr w:type="spellStart"/>
      <w:r w:rsidRPr="00566599">
        <w:rPr>
          <w:rFonts w:ascii="Arial" w:hAnsi="Arial" w:cs="Arial"/>
          <w:i/>
          <w:iCs/>
          <w:sz w:val="24"/>
          <w:szCs w:val="24"/>
        </w:rPr>
        <w:t>Economics</w:t>
      </w:r>
      <w:proofErr w:type="spellEnd"/>
      <w:r w:rsidRPr="007019A7">
        <w:rPr>
          <w:rFonts w:ascii="Arial" w:hAnsi="Arial" w:cs="Arial"/>
          <w:sz w:val="24"/>
          <w:szCs w:val="24"/>
        </w:rPr>
        <w:t>, vol.35, pp.848-858</w:t>
      </w:r>
    </w:p>
    <w:p w14:paraId="04E20C15" w14:textId="1F680D3E" w:rsidR="00300889" w:rsidRPr="00566599" w:rsidRDefault="00300889" w:rsidP="00566599">
      <w:pPr>
        <w:pStyle w:val="Paragraphedeliste"/>
        <w:numPr>
          <w:ilvl w:val="0"/>
          <w:numId w:val="5"/>
        </w:numPr>
        <w:jc w:val="both"/>
        <w:rPr>
          <w:rFonts w:ascii="Arial" w:hAnsi="Arial" w:cs="Arial"/>
          <w:sz w:val="24"/>
          <w:szCs w:val="24"/>
        </w:rPr>
      </w:pPr>
      <w:r>
        <w:rPr>
          <w:rFonts w:ascii="Arial" w:hAnsi="Arial" w:cs="Arial"/>
          <w:sz w:val="24"/>
          <w:szCs w:val="24"/>
        </w:rPr>
        <w:lastRenderedPageBreak/>
        <w:t>Mak Y., Li Y. (2001</w:t>
      </w:r>
      <w:r w:rsidR="0083056E">
        <w:rPr>
          <w:rFonts w:ascii="Arial" w:hAnsi="Arial" w:cs="Arial"/>
          <w:sz w:val="24"/>
          <w:szCs w:val="24"/>
        </w:rPr>
        <w:t>), « </w:t>
      </w:r>
      <w:proofErr w:type="spellStart"/>
      <w:r w:rsidR="0083056E" w:rsidRPr="0083056E">
        <w:rPr>
          <w:rFonts w:ascii="Arial" w:hAnsi="Arial" w:cs="Arial"/>
          <w:sz w:val="24"/>
          <w:szCs w:val="24"/>
        </w:rPr>
        <w:t>Determinants</w:t>
      </w:r>
      <w:proofErr w:type="spellEnd"/>
      <w:r w:rsidR="0083056E" w:rsidRPr="0083056E">
        <w:rPr>
          <w:rFonts w:ascii="Arial" w:hAnsi="Arial" w:cs="Arial"/>
          <w:sz w:val="24"/>
          <w:szCs w:val="24"/>
        </w:rPr>
        <w:t xml:space="preserve"> of </w:t>
      </w:r>
      <w:proofErr w:type="spellStart"/>
      <w:r w:rsidR="0083056E" w:rsidRPr="0083056E">
        <w:rPr>
          <w:rFonts w:ascii="Arial" w:hAnsi="Arial" w:cs="Arial"/>
          <w:sz w:val="24"/>
          <w:szCs w:val="24"/>
        </w:rPr>
        <w:t>corporate</w:t>
      </w:r>
      <w:proofErr w:type="spellEnd"/>
      <w:r w:rsidR="0083056E" w:rsidRPr="0083056E">
        <w:rPr>
          <w:rFonts w:ascii="Arial" w:hAnsi="Arial" w:cs="Arial"/>
          <w:sz w:val="24"/>
          <w:szCs w:val="24"/>
        </w:rPr>
        <w:t xml:space="preserve"> </w:t>
      </w:r>
      <w:proofErr w:type="spellStart"/>
      <w:r w:rsidR="0083056E" w:rsidRPr="0083056E">
        <w:rPr>
          <w:rFonts w:ascii="Arial" w:hAnsi="Arial" w:cs="Arial"/>
          <w:sz w:val="24"/>
          <w:szCs w:val="24"/>
        </w:rPr>
        <w:t>ownership</w:t>
      </w:r>
      <w:proofErr w:type="spellEnd"/>
      <w:r w:rsidR="0083056E" w:rsidRPr="0083056E">
        <w:rPr>
          <w:rFonts w:ascii="Arial" w:hAnsi="Arial" w:cs="Arial"/>
          <w:sz w:val="24"/>
          <w:szCs w:val="24"/>
        </w:rPr>
        <w:t xml:space="preserve"> and </w:t>
      </w:r>
      <w:proofErr w:type="spellStart"/>
      <w:r w:rsidR="0083056E" w:rsidRPr="0083056E">
        <w:rPr>
          <w:rFonts w:ascii="Arial" w:hAnsi="Arial" w:cs="Arial"/>
          <w:sz w:val="24"/>
          <w:szCs w:val="24"/>
        </w:rPr>
        <w:t>board</w:t>
      </w:r>
      <w:proofErr w:type="spellEnd"/>
      <w:r w:rsidR="0083056E" w:rsidRPr="0083056E">
        <w:rPr>
          <w:rFonts w:ascii="Arial" w:hAnsi="Arial" w:cs="Arial"/>
          <w:sz w:val="24"/>
          <w:szCs w:val="24"/>
        </w:rPr>
        <w:t xml:space="preserve"> structure</w:t>
      </w:r>
      <w:r w:rsidR="00E12365">
        <w:rPr>
          <w:rFonts w:ascii="Arial" w:hAnsi="Arial" w:cs="Arial"/>
          <w:sz w:val="24"/>
          <w:szCs w:val="24"/>
        </w:rPr>
        <w:t xml:space="preserve"> </w:t>
      </w:r>
      <w:r w:rsidR="0083056E" w:rsidRPr="0083056E">
        <w:rPr>
          <w:rFonts w:ascii="Arial" w:hAnsi="Arial" w:cs="Arial"/>
          <w:sz w:val="24"/>
          <w:szCs w:val="24"/>
        </w:rPr>
        <w:t xml:space="preserve">: </w:t>
      </w:r>
      <w:proofErr w:type="spellStart"/>
      <w:r w:rsidR="0083056E" w:rsidRPr="0083056E">
        <w:rPr>
          <w:rFonts w:ascii="Arial" w:hAnsi="Arial" w:cs="Arial"/>
          <w:sz w:val="24"/>
          <w:szCs w:val="24"/>
        </w:rPr>
        <w:t>evidence</w:t>
      </w:r>
      <w:proofErr w:type="spellEnd"/>
      <w:r w:rsidR="0083056E" w:rsidRPr="0083056E">
        <w:rPr>
          <w:rFonts w:ascii="Arial" w:hAnsi="Arial" w:cs="Arial"/>
          <w:sz w:val="24"/>
          <w:szCs w:val="24"/>
        </w:rPr>
        <w:t xml:space="preserve"> </w:t>
      </w:r>
      <w:proofErr w:type="spellStart"/>
      <w:r w:rsidR="0083056E" w:rsidRPr="0083056E">
        <w:rPr>
          <w:rFonts w:ascii="Arial" w:hAnsi="Arial" w:cs="Arial"/>
          <w:sz w:val="24"/>
          <w:szCs w:val="24"/>
        </w:rPr>
        <w:t>from</w:t>
      </w:r>
      <w:proofErr w:type="spellEnd"/>
      <w:r w:rsidR="0083056E" w:rsidRPr="0083056E">
        <w:rPr>
          <w:rFonts w:ascii="Arial" w:hAnsi="Arial" w:cs="Arial"/>
          <w:sz w:val="24"/>
          <w:szCs w:val="24"/>
        </w:rPr>
        <w:t xml:space="preserve"> Singapore</w:t>
      </w:r>
      <w:r w:rsidR="0083056E">
        <w:rPr>
          <w:rFonts w:ascii="Arial" w:hAnsi="Arial" w:cs="Arial"/>
          <w:sz w:val="24"/>
          <w:szCs w:val="24"/>
        </w:rPr>
        <w:t xml:space="preserve"> », </w:t>
      </w:r>
      <w:r w:rsidR="0083056E" w:rsidRPr="0083056E">
        <w:rPr>
          <w:rFonts w:ascii="Arial" w:hAnsi="Arial" w:cs="Arial"/>
          <w:i/>
          <w:iCs/>
          <w:sz w:val="24"/>
          <w:szCs w:val="24"/>
        </w:rPr>
        <w:t xml:space="preserve">Journal of </w:t>
      </w:r>
      <w:proofErr w:type="spellStart"/>
      <w:r w:rsidR="0083056E" w:rsidRPr="0083056E">
        <w:rPr>
          <w:rFonts w:ascii="Arial" w:hAnsi="Arial" w:cs="Arial"/>
          <w:i/>
          <w:iCs/>
          <w:sz w:val="24"/>
          <w:szCs w:val="24"/>
        </w:rPr>
        <w:t>Corporate</w:t>
      </w:r>
      <w:proofErr w:type="spellEnd"/>
      <w:r w:rsidR="0083056E" w:rsidRPr="0083056E">
        <w:rPr>
          <w:rFonts w:ascii="Arial" w:hAnsi="Arial" w:cs="Arial"/>
          <w:i/>
          <w:iCs/>
          <w:sz w:val="24"/>
          <w:szCs w:val="24"/>
        </w:rPr>
        <w:t xml:space="preserve"> Finance</w:t>
      </w:r>
      <w:r w:rsidR="0083056E">
        <w:rPr>
          <w:rFonts w:ascii="Arial" w:hAnsi="Arial" w:cs="Arial"/>
          <w:sz w:val="24"/>
          <w:szCs w:val="24"/>
        </w:rPr>
        <w:t>, Vol.7, n°3, pp.</w:t>
      </w:r>
      <w:r w:rsidR="00A41CC0">
        <w:rPr>
          <w:rFonts w:ascii="Arial" w:hAnsi="Arial" w:cs="Arial"/>
          <w:sz w:val="24"/>
          <w:szCs w:val="24"/>
        </w:rPr>
        <w:t>235-256</w:t>
      </w:r>
    </w:p>
    <w:p w14:paraId="7764BB29" w14:textId="7C5A0F60" w:rsidR="00FA6640" w:rsidRDefault="00FA6640" w:rsidP="00FA6640">
      <w:pPr>
        <w:pStyle w:val="Paragraphedeliste"/>
        <w:numPr>
          <w:ilvl w:val="0"/>
          <w:numId w:val="5"/>
        </w:numPr>
        <w:jc w:val="both"/>
        <w:rPr>
          <w:rFonts w:ascii="Arial" w:hAnsi="Arial" w:cs="Arial"/>
          <w:sz w:val="24"/>
          <w:szCs w:val="24"/>
          <w:lang w:val="fr-FR"/>
        </w:rPr>
      </w:pPr>
      <w:bookmarkStart w:id="2" w:name="_Hlk55922832"/>
      <w:r w:rsidRPr="00FA6640">
        <w:rPr>
          <w:rFonts w:ascii="Arial" w:hAnsi="Arial" w:cs="Arial"/>
          <w:sz w:val="24"/>
          <w:szCs w:val="24"/>
          <w:lang w:val="fr-FR"/>
        </w:rPr>
        <w:t xml:space="preserve">Michel A., </w:t>
      </w:r>
      <w:proofErr w:type="spellStart"/>
      <w:r w:rsidRPr="00FA6640">
        <w:rPr>
          <w:rFonts w:ascii="Arial" w:hAnsi="Arial" w:cs="Arial"/>
          <w:sz w:val="24"/>
          <w:szCs w:val="24"/>
          <w:lang w:val="fr-FR"/>
        </w:rPr>
        <w:t>Oded</w:t>
      </w:r>
      <w:proofErr w:type="spellEnd"/>
      <w:r w:rsidRPr="00FA6640">
        <w:rPr>
          <w:rFonts w:ascii="Arial" w:hAnsi="Arial" w:cs="Arial"/>
          <w:sz w:val="24"/>
          <w:szCs w:val="24"/>
          <w:lang w:val="fr-FR"/>
        </w:rPr>
        <w:t xml:space="preserve"> J., </w:t>
      </w:r>
      <w:proofErr w:type="spellStart"/>
      <w:r w:rsidRPr="00FA6640">
        <w:rPr>
          <w:rFonts w:ascii="Arial" w:hAnsi="Arial" w:cs="Arial"/>
          <w:sz w:val="24"/>
          <w:szCs w:val="24"/>
          <w:lang w:val="fr-FR"/>
        </w:rPr>
        <w:t>Shakeda</w:t>
      </w:r>
      <w:proofErr w:type="spellEnd"/>
      <w:r w:rsidRPr="00FA6640">
        <w:rPr>
          <w:rFonts w:ascii="Arial" w:hAnsi="Arial" w:cs="Arial"/>
          <w:sz w:val="24"/>
          <w:szCs w:val="24"/>
          <w:lang w:val="fr-FR"/>
        </w:rPr>
        <w:t xml:space="preserve"> I. (2020), </w:t>
      </w:r>
      <w:bookmarkEnd w:id="2"/>
      <w:r w:rsidRPr="00FA6640">
        <w:rPr>
          <w:rFonts w:ascii="Arial" w:hAnsi="Arial" w:cs="Arial"/>
          <w:sz w:val="24"/>
          <w:szCs w:val="24"/>
          <w:lang w:val="fr-FR"/>
        </w:rPr>
        <w:t>« </w:t>
      </w:r>
      <w:proofErr w:type="spellStart"/>
      <w:r w:rsidRPr="00FA6640">
        <w:rPr>
          <w:rFonts w:ascii="Arial" w:hAnsi="Arial" w:cs="Arial"/>
          <w:sz w:val="24"/>
          <w:szCs w:val="24"/>
          <w:lang w:val="fr-FR"/>
        </w:rPr>
        <w:t>Institutional</w:t>
      </w:r>
      <w:proofErr w:type="spellEnd"/>
      <w:r w:rsidRPr="00FA6640">
        <w:rPr>
          <w:rFonts w:ascii="Arial" w:hAnsi="Arial" w:cs="Arial"/>
          <w:sz w:val="24"/>
          <w:szCs w:val="24"/>
          <w:lang w:val="fr-FR"/>
        </w:rPr>
        <w:t xml:space="preserve"> </w:t>
      </w:r>
      <w:proofErr w:type="spellStart"/>
      <w:r w:rsidRPr="00FA6640">
        <w:rPr>
          <w:rFonts w:ascii="Arial" w:hAnsi="Arial" w:cs="Arial"/>
          <w:sz w:val="24"/>
          <w:szCs w:val="24"/>
          <w:lang w:val="fr-FR"/>
        </w:rPr>
        <w:t>investors</w:t>
      </w:r>
      <w:proofErr w:type="spellEnd"/>
      <w:r w:rsidRPr="00FA6640">
        <w:rPr>
          <w:rFonts w:ascii="Arial" w:hAnsi="Arial" w:cs="Arial"/>
          <w:sz w:val="24"/>
          <w:szCs w:val="24"/>
          <w:lang w:val="fr-FR"/>
        </w:rPr>
        <w:t xml:space="preserve"> and </w:t>
      </w:r>
      <w:proofErr w:type="spellStart"/>
      <w:r w:rsidRPr="00FA6640">
        <w:rPr>
          <w:rFonts w:ascii="Arial" w:hAnsi="Arial" w:cs="Arial"/>
          <w:sz w:val="24"/>
          <w:szCs w:val="24"/>
          <w:lang w:val="fr-FR"/>
        </w:rPr>
        <w:t>firm</w:t>
      </w:r>
      <w:proofErr w:type="spellEnd"/>
      <w:r w:rsidRPr="00FA6640">
        <w:rPr>
          <w:rFonts w:ascii="Arial" w:hAnsi="Arial" w:cs="Arial"/>
          <w:sz w:val="24"/>
          <w:szCs w:val="24"/>
          <w:lang w:val="fr-FR"/>
        </w:rPr>
        <w:t xml:space="preserve"> performance : Evidence </w:t>
      </w:r>
      <w:proofErr w:type="spellStart"/>
      <w:r w:rsidRPr="00FA6640">
        <w:rPr>
          <w:rFonts w:ascii="Arial" w:hAnsi="Arial" w:cs="Arial"/>
          <w:sz w:val="24"/>
          <w:szCs w:val="24"/>
          <w:lang w:val="fr-FR"/>
        </w:rPr>
        <w:t>from</w:t>
      </w:r>
      <w:proofErr w:type="spellEnd"/>
      <w:r w:rsidRPr="00FA6640">
        <w:rPr>
          <w:rFonts w:ascii="Arial" w:hAnsi="Arial" w:cs="Arial"/>
          <w:sz w:val="24"/>
          <w:szCs w:val="24"/>
          <w:lang w:val="fr-FR"/>
        </w:rPr>
        <w:t xml:space="preserve"> </w:t>
      </w:r>
      <w:proofErr w:type="spellStart"/>
      <w:r w:rsidRPr="00FA6640">
        <w:rPr>
          <w:rFonts w:ascii="Arial" w:hAnsi="Arial" w:cs="Arial"/>
          <w:sz w:val="24"/>
          <w:szCs w:val="24"/>
          <w:lang w:val="fr-FR"/>
        </w:rPr>
        <w:t>IPOs</w:t>
      </w:r>
      <w:proofErr w:type="spellEnd"/>
      <w:r w:rsidRPr="00FA6640">
        <w:rPr>
          <w:rFonts w:ascii="Arial" w:hAnsi="Arial" w:cs="Arial"/>
          <w:sz w:val="24"/>
          <w:szCs w:val="24"/>
          <w:lang w:val="fr-FR"/>
        </w:rPr>
        <w:t xml:space="preserve"> », </w:t>
      </w:r>
      <w:r w:rsidRPr="00FA6640">
        <w:rPr>
          <w:rFonts w:ascii="Arial" w:hAnsi="Arial" w:cs="Arial"/>
          <w:i/>
          <w:iCs/>
          <w:sz w:val="24"/>
          <w:szCs w:val="24"/>
          <w:lang w:val="fr-FR"/>
        </w:rPr>
        <w:t xml:space="preserve">The North American Journal of </w:t>
      </w:r>
      <w:proofErr w:type="spellStart"/>
      <w:r w:rsidRPr="00FA6640">
        <w:rPr>
          <w:rFonts w:ascii="Arial" w:hAnsi="Arial" w:cs="Arial"/>
          <w:i/>
          <w:iCs/>
          <w:sz w:val="24"/>
          <w:szCs w:val="24"/>
          <w:lang w:val="fr-FR"/>
        </w:rPr>
        <w:t>Economics</w:t>
      </w:r>
      <w:proofErr w:type="spellEnd"/>
      <w:r w:rsidRPr="00FA6640">
        <w:rPr>
          <w:rFonts w:ascii="Arial" w:hAnsi="Arial" w:cs="Arial"/>
          <w:i/>
          <w:iCs/>
          <w:sz w:val="24"/>
          <w:szCs w:val="24"/>
          <w:lang w:val="fr-FR"/>
        </w:rPr>
        <w:t xml:space="preserve"> and Finance</w:t>
      </w:r>
      <w:r w:rsidRPr="00FA6640">
        <w:rPr>
          <w:rFonts w:ascii="Arial" w:hAnsi="Arial" w:cs="Arial"/>
          <w:sz w:val="24"/>
          <w:szCs w:val="24"/>
          <w:lang w:val="fr-FR"/>
        </w:rPr>
        <w:t>, Vol.51</w:t>
      </w:r>
    </w:p>
    <w:p w14:paraId="7DEC4926" w14:textId="77777777" w:rsidR="00CF6416" w:rsidRPr="00CF6416" w:rsidRDefault="00CF6416" w:rsidP="00CF6416">
      <w:pPr>
        <w:pStyle w:val="Paragraphedeliste"/>
        <w:numPr>
          <w:ilvl w:val="0"/>
          <w:numId w:val="5"/>
        </w:numPr>
        <w:jc w:val="both"/>
        <w:rPr>
          <w:rFonts w:ascii="Arial" w:hAnsi="Arial" w:cs="Arial"/>
          <w:sz w:val="24"/>
          <w:szCs w:val="24"/>
          <w:lang w:val="fr-FR"/>
        </w:rPr>
      </w:pPr>
      <w:r w:rsidRPr="00CF6416">
        <w:rPr>
          <w:rFonts w:ascii="Arial" w:hAnsi="Arial" w:cs="Arial"/>
          <w:sz w:val="24"/>
          <w:szCs w:val="24"/>
          <w:lang w:val="fr-FR"/>
        </w:rPr>
        <w:t xml:space="preserve">Morin F., </w:t>
      </w:r>
      <w:proofErr w:type="spellStart"/>
      <w:r w:rsidRPr="00CF6416">
        <w:rPr>
          <w:rFonts w:ascii="Arial" w:hAnsi="Arial" w:cs="Arial"/>
          <w:sz w:val="24"/>
          <w:szCs w:val="24"/>
          <w:lang w:val="fr-FR"/>
        </w:rPr>
        <w:t>Rigamonti</w:t>
      </w:r>
      <w:proofErr w:type="spellEnd"/>
      <w:r w:rsidRPr="00CF6416">
        <w:rPr>
          <w:rFonts w:ascii="Arial" w:hAnsi="Arial" w:cs="Arial"/>
          <w:sz w:val="24"/>
          <w:szCs w:val="24"/>
          <w:lang w:val="fr-FR"/>
        </w:rPr>
        <w:t xml:space="preserve"> E. (2002), « Évolution et structure de l'actionnariat en France », </w:t>
      </w:r>
      <w:r w:rsidRPr="00CF6416">
        <w:rPr>
          <w:rFonts w:ascii="Arial" w:hAnsi="Arial" w:cs="Arial"/>
          <w:i/>
          <w:iCs/>
          <w:sz w:val="24"/>
          <w:szCs w:val="24"/>
          <w:lang w:val="fr-FR"/>
        </w:rPr>
        <w:t>Revue Française de Gestion</w:t>
      </w:r>
      <w:r w:rsidRPr="00CF6416">
        <w:rPr>
          <w:rFonts w:ascii="Arial" w:hAnsi="Arial" w:cs="Arial"/>
          <w:sz w:val="24"/>
          <w:szCs w:val="24"/>
          <w:lang w:val="fr-FR"/>
        </w:rPr>
        <w:t>, Vol.5, n°141, pp.155-181</w:t>
      </w:r>
    </w:p>
    <w:p w14:paraId="50959186" w14:textId="5D1ED70D" w:rsidR="002657C9" w:rsidRPr="0000146D" w:rsidRDefault="002657C9" w:rsidP="00FA6640">
      <w:pPr>
        <w:pStyle w:val="Paragraphedeliste"/>
        <w:numPr>
          <w:ilvl w:val="0"/>
          <w:numId w:val="5"/>
        </w:numPr>
        <w:jc w:val="both"/>
        <w:rPr>
          <w:rFonts w:ascii="Arial" w:hAnsi="Arial" w:cs="Arial"/>
          <w:sz w:val="24"/>
          <w:szCs w:val="24"/>
          <w:lang w:val="fr-FR"/>
        </w:rPr>
      </w:pPr>
      <w:r w:rsidRPr="00781A87">
        <w:rPr>
          <w:rFonts w:ascii="Arial" w:hAnsi="Arial" w:cs="Arial"/>
          <w:sz w:val="24"/>
          <w:szCs w:val="24"/>
        </w:rPr>
        <w:t>Navarro</w:t>
      </w:r>
      <w:r>
        <w:rPr>
          <w:rFonts w:ascii="Arial" w:hAnsi="Arial" w:cs="Arial"/>
          <w:sz w:val="24"/>
          <w:szCs w:val="24"/>
        </w:rPr>
        <w:t xml:space="preserve"> M., </w:t>
      </w:r>
      <w:r w:rsidRPr="00781A87">
        <w:rPr>
          <w:rFonts w:ascii="Arial" w:hAnsi="Arial" w:cs="Arial"/>
          <w:sz w:val="24"/>
          <w:szCs w:val="24"/>
        </w:rPr>
        <w:t>Gómez</w:t>
      </w:r>
      <w:r>
        <w:rPr>
          <w:rFonts w:ascii="Arial" w:hAnsi="Arial" w:cs="Arial"/>
          <w:sz w:val="24"/>
          <w:szCs w:val="24"/>
        </w:rPr>
        <w:t xml:space="preserve"> S., </w:t>
      </w:r>
      <w:r w:rsidRPr="00781A87">
        <w:rPr>
          <w:rFonts w:ascii="Arial" w:hAnsi="Arial" w:cs="Arial"/>
          <w:sz w:val="24"/>
          <w:szCs w:val="24"/>
        </w:rPr>
        <w:t>García</w:t>
      </w:r>
      <w:r>
        <w:rPr>
          <w:rFonts w:ascii="Arial" w:hAnsi="Arial" w:cs="Arial"/>
          <w:sz w:val="24"/>
          <w:szCs w:val="24"/>
        </w:rPr>
        <w:t xml:space="preserve"> L. (2011), « </w:t>
      </w:r>
      <w:r w:rsidR="00A00A8A" w:rsidRPr="00A00A8A">
        <w:rPr>
          <w:rFonts w:ascii="Arial" w:hAnsi="Arial" w:cs="Arial"/>
          <w:sz w:val="24"/>
          <w:szCs w:val="24"/>
        </w:rPr>
        <w:t xml:space="preserve">Large </w:t>
      </w:r>
      <w:proofErr w:type="spellStart"/>
      <w:r w:rsidR="00A00A8A" w:rsidRPr="00A00A8A">
        <w:rPr>
          <w:rFonts w:ascii="Arial" w:hAnsi="Arial" w:cs="Arial"/>
          <w:sz w:val="24"/>
          <w:szCs w:val="24"/>
        </w:rPr>
        <w:t>shareholders</w:t>
      </w:r>
      <w:proofErr w:type="spellEnd"/>
      <w:r w:rsidR="00A00A8A" w:rsidRPr="00A00A8A">
        <w:rPr>
          <w:rFonts w:ascii="Arial" w:hAnsi="Arial" w:cs="Arial"/>
          <w:sz w:val="24"/>
          <w:szCs w:val="24"/>
        </w:rPr>
        <w:t xml:space="preserve">’ combinations in </w:t>
      </w:r>
      <w:proofErr w:type="spellStart"/>
      <w:r w:rsidR="00A00A8A" w:rsidRPr="00A00A8A">
        <w:rPr>
          <w:rFonts w:ascii="Arial" w:hAnsi="Arial" w:cs="Arial"/>
          <w:sz w:val="24"/>
          <w:szCs w:val="24"/>
        </w:rPr>
        <w:t>family</w:t>
      </w:r>
      <w:proofErr w:type="spellEnd"/>
      <w:r w:rsidR="00A00A8A" w:rsidRPr="00A00A8A">
        <w:rPr>
          <w:rFonts w:ascii="Arial" w:hAnsi="Arial" w:cs="Arial"/>
          <w:sz w:val="24"/>
          <w:szCs w:val="24"/>
        </w:rPr>
        <w:t xml:space="preserve"> </w:t>
      </w:r>
      <w:proofErr w:type="spellStart"/>
      <w:proofErr w:type="gramStart"/>
      <w:r w:rsidR="00A00A8A" w:rsidRPr="00A00A8A">
        <w:rPr>
          <w:rFonts w:ascii="Arial" w:hAnsi="Arial" w:cs="Arial"/>
          <w:sz w:val="24"/>
          <w:szCs w:val="24"/>
        </w:rPr>
        <w:t>firms</w:t>
      </w:r>
      <w:proofErr w:type="spellEnd"/>
      <w:r w:rsidR="00A00A8A" w:rsidRPr="00A00A8A">
        <w:rPr>
          <w:rFonts w:ascii="Arial" w:hAnsi="Arial" w:cs="Arial"/>
          <w:sz w:val="24"/>
          <w:szCs w:val="24"/>
        </w:rPr>
        <w:t>:</w:t>
      </w:r>
      <w:proofErr w:type="gramEnd"/>
      <w:r w:rsidR="00A00A8A" w:rsidRPr="00A00A8A">
        <w:rPr>
          <w:rFonts w:ascii="Arial" w:hAnsi="Arial" w:cs="Arial"/>
          <w:sz w:val="24"/>
          <w:szCs w:val="24"/>
        </w:rPr>
        <w:t xml:space="preserve"> </w:t>
      </w:r>
      <w:proofErr w:type="spellStart"/>
      <w:r w:rsidR="00A00A8A" w:rsidRPr="00A00A8A">
        <w:rPr>
          <w:rFonts w:ascii="Arial" w:hAnsi="Arial" w:cs="Arial"/>
          <w:sz w:val="24"/>
          <w:szCs w:val="24"/>
        </w:rPr>
        <w:t>Prevalence</w:t>
      </w:r>
      <w:proofErr w:type="spellEnd"/>
      <w:r w:rsidR="00A00A8A" w:rsidRPr="00A00A8A">
        <w:rPr>
          <w:rFonts w:ascii="Arial" w:hAnsi="Arial" w:cs="Arial"/>
          <w:sz w:val="24"/>
          <w:szCs w:val="24"/>
        </w:rPr>
        <w:t xml:space="preserve"> and performance </w:t>
      </w:r>
      <w:proofErr w:type="spellStart"/>
      <w:r w:rsidR="00A00A8A" w:rsidRPr="00A00A8A">
        <w:rPr>
          <w:rFonts w:ascii="Arial" w:hAnsi="Arial" w:cs="Arial"/>
          <w:sz w:val="24"/>
          <w:szCs w:val="24"/>
        </w:rPr>
        <w:t>effects</w:t>
      </w:r>
      <w:proofErr w:type="spellEnd"/>
      <w:r w:rsidR="00A00A8A">
        <w:rPr>
          <w:rFonts w:ascii="Arial" w:hAnsi="Arial" w:cs="Arial"/>
          <w:sz w:val="24"/>
          <w:szCs w:val="24"/>
        </w:rPr>
        <w:t xml:space="preserve"> », </w:t>
      </w:r>
      <w:r w:rsidR="00A00A8A" w:rsidRPr="00016C42">
        <w:rPr>
          <w:rFonts w:ascii="Arial" w:hAnsi="Arial" w:cs="Arial"/>
          <w:i/>
          <w:iCs/>
          <w:sz w:val="24"/>
          <w:szCs w:val="24"/>
        </w:rPr>
        <w:t xml:space="preserve">Journal of Family Business </w:t>
      </w:r>
      <w:proofErr w:type="spellStart"/>
      <w:r w:rsidR="00A00A8A" w:rsidRPr="00016C42">
        <w:rPr>
          <w:rFonts w:ascii="Arial" w:hAnsi="Arial" w:cs="Arial"/>
          <w:i/>
          <w:iCs/>
          <w:sz w:val="24"/>
          <w:szCs w:val="24"/>
        </w:rPr>
        <w:t>Strategy</w:t>
      </w:r>
      <w:proofErr w:type="spellEnd"/>
      <w:r w:rsidR="00A00A8A">
        <w:rPr>
          <w:rFonts w:ascii="Arial" w:hAnsi="Arial" w:cs="Arial"/>
          <w:sz w:val="24"/>
          <w:szCs w:val="24"/>
        </w:rPr>
        <w:t>, Vol.2, n°2, pp.</w:t>
      </w:r>
      <w:r w:rsidR="00016C42">
        <w:rPr>
          <w:rFonts w:ascii="Arial" w:hAnsi="Arial" w:cs="Arial"/>
          <w:sz w:val="24"/>
          <w:szCs w:val="24"/>
        </w:rPr>
        <w:t>101-112</w:t>
      </w:r>
    </w:p>
    <w:p w14:paraId="032CFA00" w14:textId="5FBEBBF5" w:rsidR="0000146D" w:rsidRDefault="0000146D" w:rsidP="00FA6640">
      <w:pPr>
        <w:pStyle w:val="Paragraphedeliste"/>
        <w:numPr>
          <w:ilvl w:val="0"/>
          <w:numId w:val="5"/>
        </w:numPr>
        <w:jc w:val="both"/>
        <w:rPr>
          <w:rFonts w:ascii="Arial" w:hAnsi="Arial" w:cs="Arial"/>
          <w:sz w:val="24"/>
          <w:szCs w:val="24"/>
          <w:lang w:val="fr-FR"/>
        </w:rPr>
      </w:pPr>
      <w:r w:rsidRPr="0000146D">
        <w:rPr>
          <w:rFonts w:ascii="Arial" w:hAnsi="Arial" w:cs="Arial"/>
          <w:sz w:val="24"/>
          <w:szCs w:val="24"/>
          <w:lang w:val="fr-FR"/>
        </w:rPr>
        <w:t>Ngo</w:t>
      </w:r>
      <w:r>
        <w:rPr>
          <w:rFonts w:ascii="Arial" w:hAnsi="Arial" w:cs="Arial"/>
          <w:sz w:val="24"/>
          <w:szCs w:val="24"/>
          <w:lang w:val="fr-FR"/>
        </w:rPr>
        <w:t xml:space="preserve"> A., </w:t>
      </w:r>
      <w:r w:rsidRPr="0000146D">
        <w:rPr>
          <w:rFonts w:ascii="Arial" w:hAnsi="Arial" w:cs="Arial"/>
          <w:sz w:val="24"/>
          <w:szCs w:val="24"/>
          <w:lang w:val="fr-FR"/>
        </w:rPr>
        <w:t>Duong</w:t>
      </w:r>
      <w:r w:rsidR="00403B25">
        <w:rPr>
          <w:rFonts w:ascii="Arial" w:hAnsi="Arial" w:cs="Arial"/>
          <w:sz w:val="24"/>
          <w:szCs w:val="24"/>
          <w:lang w:val="fr-FR"/>
        </w:rPr>
        <w:t xml:space="preserve"> H., </w:t>
      </w:r>
      <w:r w:rsidRPr="0000146D">
        <w:rPr>
          <w:rFonts w:ascii="Arial" w:hAnsi="Arial" w:cs="Arial"/>
          <w:sz w:val="24"/>
          <w:szCs w:val="24"/>
          <w:lang w:val="fr-FR"/>
        </w:rPr>
        <w:t>Nguyen</w:t>
      </w:r>
      <w:r w:rsidR="00403B25">
        <w:rPr>
          <w:rFonts w:ascii="Arial" w:hAnsi="Arial" w:cs="Arial"/>
          <w:sz w:val="24"/>
          <w:szCs w:val="24"/>
          <w:lang w:val="fr-FR"/>
        </w:rPr>
        <w:t xml:space="preserve"> T., </w:t>
      </w:r>
      <w:r w:rsidRPr="0000146D">
        <w:rPr>
          <w:rFonts w:ascii="Arial" w:hAnsi="Arial" w:cs="Arial"/>
          <w:sz w:val="24"/>
          <w:szCs w:val="24"/>
          <w:lang w:val="fr-FR"/>
        </w:rPr>
        <w:t>Nguyen</w:t>
      </w:r>
      <w:r w:rsidR="00403B25">
        <w:rPr>
          <w:rFonts w:ascii="Arial" w:hAnsi="Arial" w:cs="Arial"/>
          <w:sz w:val="24"/>
          <w:szCs w:val="24"/>
          <w:lang w:val="fr-FR"/>
        </w:rPr>
        <w:t xml:space="preserve"> L.</w:t>
      </w:r>
      <w:r w:rsidR="00435B89">
        <w:rPr>
          <w:rFonts w:ascii="Arial" w:hAnsi="Arial" w:cs="Arial"/>
          <w:sz w:val="24"/>
          <w:szCs w:val="24"/>
          <w:lang w:val="fr-FR"/>
        </w:rPr>
        <w:t xml:space="preserve"> (2020), « </w:t>
      </w:r>
      <w:r w:rsidR="00435B89" w:rsidRPr="00435B89">
        <w:rPr>
          <w:rFonts w:ascii="Arial" w:hAnsi="Arial" w:cs="Arial"/>
          <w:sz w:val="24"/>
          <w:szCs w:val="24"/>
          <w:lang w:val="fr-FR"/>
        </w:rPr>
        <w:t xml:space="preserve">The </w:t>
      </w:r>
      <w:proofErr w:type="spellStart"/>
      <w:r w:rsidR="00435B89" w:rsidRPr="00435B89">
        <w:rPr>
          <w:rFonts w:ascii="Arial" w:hAnsi="Arial" w:cs="Arial"/>
          <w:sz w:val="24"/>
          <w:szCs w:val="24"/>
          <w:lang w:val="fr-FR"/>
        </w:rPr>
        <w:t>effects</w:t>
      </w:r>
      <w:proofErr w:type="spellEnd"/>
      <w:r w:rsidR="00435B89" w:rsidRPr="00435B89">
        <w:rPr>
          <w:rFonts w:ascii="Arial" w:hAnsi="Arial" w:cs="Arial"/>
          <w:sz w:val="24"/>
          <w:szCs w:val="24"/>
          <w:lang w:val="fr-FR"/>
        </w:rPr>
        <w:t xml:space="preserve"> of </w:t>
      </w:r>
      <w:proofErr w:type="spellStart"/>
      <w:r w:rsidR="00435B89" w:rsidRPr="00435B89">
        <w:rPr>
          <w:rFonts w:ascii="Arial" w:hAnsi="Arial" w:cs="Arial"/>
          <w:sz w:val="24"/>
          <w:szCs w:val="24"/>
          <w:lang w:val="fr-FR"/>
        </w:rPr>
        <w:t>ownership</w:t>
      </w:r>
      <w:proofErr w:type="spellEnd"/>
      <w:r w:rsidR="00435B89" w:rsidRPr="00435B89">
        <w:rPr>
          <w:rFonts w:ascii="Arial" w:hAnsi="Arial" w:cs="Arial"/>
          <w:sz w:val="24"/>
          <w:szCs w:val="24"/>
          <w:lang w:val="fr-FR"/>
        </w:rPr>
        <w:t xml:space="preserve"> structure on </w:t>
      </w:r>
      <w:proofErr w:type="spellStart"/>
      <w:r w:rsidR="00435B89" w:rsidRPr="00435B89">
        <w:rPr>
          <w:rFonts w:ascii="Arial" w:hAnsi="Arial" w:cs="Arial"/>
          <w:sz w:val="24"/>
          <w:szCs w:val="24"/>
          <w:lang w:val="fr-FR"/>
        </w:rPr>
        <w:t>dividend</w:t>
      </w:r>
      <w:proofErr w:type="spellEnd"/>
      <w:r w:rsidR="00435B89" w:rsidRPr="00435B89">
        <w:rPr>
          <w:rFonts w:ascii="Arial" w:hAnsi="Arial" w:cs="Arial"/>
          <w:sz w:val="24"/>
          <w:szCs w:val="24"/>
          <w:lang w:val="fr-FR"/>
        </w:rPr>
        <w:t xml:space="preserve"> </w:t>
      </w:r>
      <w:proofErr w:type="spellStart"/>
      <w:proofErr w:type="gramStart"/>
      <w:r w:rsidR="00435B89" w:rsidRPr="00435B89">
        <w:rPr>
          <w:rFonts w:ascii="Arial" w:hAnsi="Arial" w:cs="Arial"/>
          <w:sz w:val="24"/>
          <w:szCs w:val="24"/>
          <w:lang w:val="fr-FR"/>
        </w:rPr>
        <w:t>policy</w:t>
      </w:r>
      <w:proofErr w:type="spellEnd"/>
      <w:r w:rsidR="00435B89" w:rsidRPr="00435B89">
        <w:rPr>
          <w:rFonts w:ascii="Arial" w:hAnsi="Arial" w:cs="Arial"/>
          <w:sz w:val="24"/>
          <w:szCs w:val="24"/>
          <w:lang w:val="fr-FR"/>
        </w:rPr>
        <w:t>:</w:t>
      </w:r>
      <w:proofErr w:type="gramEnd"/>
      <w:r w:rsidR="00435B89" w:rsidRPr="00435B89">
        <w:rPr>
          <w:rFonts w:ascii="Arial" w:hAnsi="Arial" w:cs="Arial"/>
          <w:sz w:val="24"/>
          <w:szCs w:val="24"/>
          <w:lang w:val="fr-FR"/>
        </w:rPr>
        <w:t xml:space="preserve"> Evidence </w:t>
      </w:r>
      <w:proofErr w:type="spellStart"/>
      <w:r w:rsidR="00435B89" w:rsidRPr="00435B89">
        <w:rPr>
          <w:rFonts w:ascii="Arial" w:hAnsi="Arial" w:cs="Arial"/>
          <w:sz w:val="24"/>
          <w:szCs w:val="24"/>
          <w:lang w:val="fr-FR"/>
        </w:rPr>
        <w:t>from</w:t>
      </w:r>
      <w:proofErr w:type="spellEnd"/>
      <w:r w:rsidR="00435B89" w:rsidRPr="00435B89">
        <w:rPr>
          <w:rFonts w:ascii="Arial" w:hAnsi="Arial" w:cs="Arial"/>
          <w:sz w:val="24"/>
          <w:szCs w:val="24"/>
          <w:lang w:val="fr-FR"/>
        </w:rPr>
        <w:t xml:space="preserve"> </w:t>
      </w:r>
      <w:proofErr w:type="spellStart"/>
      <w:r w:rsidR="00435B89" w:rsidRPr="00435B89">
        <w:rPr>
          <w:rFonts w:ascii="Arial" w:hAnsi="Arial" w:cs="Arial"/>
          <w:sz w:val="24"/>
          <w:szCs w:val="24"/>
          <w:lang w:val="fr-FR"/>
        </w:rPr>
        <w:t>seasoned</w:t>
      </w:r>
      <w:proofErr w:type="spellEnd"/>
      <w:r w:rsidR="00435B89" w:rsidRPr="00435B89">
        <w:rPr>
          <w:rFonts w:ascii="Arial" w:hAnsi="Arial" w:cs="Arial"/>
          <w:sz w:val="24"/>
          <w:szCs w:val="24"/>
          <w:lang w:val="fr-FR"/>
        </w:rPr>
        <w:t xml:space="preserve"> </w:t>
      </w:r>
      <w:proofErr w:type="spellStart"/>
      <w:r w:rsidR="00435B89" w:rsidRPr="00435B89">
        <w:rPr>
          <w:rFonts w:ascii="Arial" w:hAnsi="Arial" w:cs="Arial"/>
          <w:sz w:val="24"/>
          <w:szCs w:val="24"/>
          <w:lang w:val="fr-FR"/>
        </w:rPr>
        <w:t>equity</w:t>
      </w:r>
      <w:proofErr w:type="spellEnd"/>
      <w:r w:rsidR="00435B89" w:rsidRPr="00435B89">
        <w:rPr>
          <w:rFonts w:ascii="Arial" w:hAnsi="Arial" w:cs="Arial"/>
          <w:sz w:val="24"/>
          <w:szCs w:val="24"/>
          <w:lang w:val="fr-FR"/>
        </w:rPr>
        <w:t xml:space="preserve"> </w:t>
      </w:r>
      <w:proofErr w:type="spellStart"/>
      <w:r w:rsidR="00435B89" w:rsidRPr="00435B89">
        <w:rPr>
          <w:rFonts w:ascii="Arial" w:hAnsi="Arial" w:cs="Arial"/>
          <w:sz w:val="24"/>
          <w:szCs w:val="24"/>
          <w:lang w:val="fr-FR"/>
        </w:rPr>
        <w:t>offerings</w:t>
      </w:r>
      <w:proofErr w:type="spellEnd"/>
      <w:r w:rsidR="00435B89" w:rsidRPr="00435B89">
        <w:rPr>
          <w:rFonts w:ascii="Arial" w:hAnsi="Arial" w:cs="Arial"/>
          <w:sz w:val="24"/>
          <w:szCs w:val="24"/>
          <w:lang w:val="fr-FR"/>
        </w:rPr>
        <w:t xml:space="preserve"> (</w:t>
      </w:r>
      <w:proofErr w:type="spellStart"/>
      <w:r w:rsidR="00435B89" w:rsidRPr="00435B89">
        <w:rPr>
          <w:rFonts w:ascii="Arial" w:hAnsi="Arial" w:cs="Arial"/>
          <w:sz w:val="24"/>
          <w:szCs w:val="24"/>
          <w:lang w:val="fr-FR"/>
        </w:rPr>
        <w:t>SEOs</w:t>
      </w:r>
      <w:proofErr w:type="spellEnd"/>
      <w:r w:rsidR="00435B89" w:rsidRPr="00435B89">
        <w:rPr>
          <w:rFonts w:ascii="Arial" w:hAnsi="Arial" w:cs="Arial"/>
          <w:sz w:val="24"/>
          <w:szCs w:val="24"/>
          <w:lang w:val="fr-FR"/>
        </w:rPr>
        <w:t>)</w:t>
      </w:r>
      <w:r w:rsidR="00435B89">
        <w:rPr>
          <w:rFonts w:ascii="Arial" w:hAnsi="Arial" w:cs="Arial"/>
          <w:sz w:val="24"/>
          <w:szCs w:val="24"/>
          <w:lang w:val="fr-FR"/>
        </w:rPr>
        <w:t xml:space="preserve"> », </w:t>
      </w:r>
      <w:r w:rsidR="00435B89" w:rsidRPr="00516991">
        <w:rPr>
          <w:rFonts w:ascii="Arial" w:hAnsi="Arial" w:cs="Arial"/>
          <w:i/>
          <w:iCs/>
          <w:sz w:val="24"/>
          <w:szCs w:val="24"/>
          <w:lang w:val="fr-FR"/>
        </w:rPr>
        <w:t>Global Finance Journal</w:t>
      </w:r>
      <w:r w:rsidR="00435B89">
        <w:rPr>
          <w:rFonts w:ascii="Arial" w:hAnsi="Arial" w:cs="Arial"/>
          <w:sz w:val="24"/>
          <w:szCs w:val="24"/>
          <w:lang w:val="fr-FR"/>
        </w:rPr>
        <w:t>, Vol.</w:t>
      </w:r>
      <w:r w:rsidR="00516991">
        <w:rPr>
          <w:rFonts w:ascii="Arial" w:hAnsi="Arial" w:cs="Arial"/>
          <w:sz w:val="24"/>
          <w:szCs w:val="24"/>
          <w:lang w:val="fr-FR"/>
        </w:rPr>
        <w:t>44</w:t>
      </w:r>
    </w:p>
    <w:p w14:paraId="333D8B88" w14:textId="2E90B014" w:rsidR="006E16DD" w:rsidRPr="00FA6640" w:rsidRDefault="006E16DD" w:rsidP="00FA6640">
      <w:pPr>
        <w:pStyle w:val="Paragraphedeliste"/>
        <w:numPr>
          <w:ilvl w:val="0"/>
          <w:numId w:val="5"/>
        </w:numPr>
        <w:jc w:val="both"/>
        <w:rPr>
          <w:rFonts w:ascii="Arial" w:hAnsi="Arial" w:cs="Arial"/>
          <w:sz w:val="24"/>
          <w:szCs w:val="24"/>
          <w:lang w:val="fr-FR"/>
        </w:rPr>
      </w:pPr>
      <w:proofErr w:type="spellStart"/>
      <w:r w:rsidRPr="006E16DD">
        <w:rPr>
          <w:rFonts w:ascii="Arial" w:hAnsi="Arial" w:cs="Arial"/>
          <w:sz w:val="24"/>
          <w:szCs w:val="24"/>
          <w:lang w:val="fr-FR"/>
        </w:rPr>
        <w:t>Palard</w:t>
      </w:r>
      <w:proofErr w:type="spellEnd"/>
      <w:r w:rsidRPr="006E16DD">
        <w:rPr>
          <w:rFonts w:ascii="Arial" w:hAnsi="Arial" w:cs="Arial"/>
          <w:sz w:val="24"/>
          <w:szCs w:val="24"/>
          <w:lang w:val="fr-FR"/>
        </w:rPr>
        <w:t xml:space="preserve"> J.</w:t>
      </w:r>
      <w:r>
        <w:rPr>
          <w:rFonts w:ascii="Arial" w:hAnsi="Arial" w:cs="Arial"/>
          <w:sz w:val="24"/>
          <w:szCs w:val="24"/>
          <w:lang w:val="fr-FR"/>
        </w:rPr>
        <w:t xml:space="preserve"> (</w:t>
      </w:r>
      <w:r w:rsidRPr="006E16DD">
        <w:rPr>
          <w:rFonts w:ascii="Arial" w:hAnsi="Arial" w:cs="Arial"/>
          <w:sz w:val="24"/>
          <w:szCs w:val="24"/>
          <w:lang w:val="fr-FR"/>
        </w:rPr>
        <w:t>2011</w:t>
      </w:r>
      <w:r>
        <w:rPr>
          <w:rFonts w:ascii="Arial" w:hAnsi="Arial" w:cs="Arial"/>
          <w:sz w:val="24"/>
          <w:szCs w:val="24"/>
          <w:lang w:val="fr-FR"/>
        </w:rPr>
        <w:t>), « </w:t>
      </w:r>
      <w:r w:rsidR="00EA771A" w:rsidRPr="00EA771A">
        <w:rPr>
          <w:rFonts w:ascii="Arial" w:hAnsi="Arial" w:cs="Arial"/>
          <w:sz w:val="24"/>
          <w:szCs w:val="24"/>
          <w:lang w:val="fr-FR"/>
        </w:rPr>
        <w:t>Recentrage, endettement et structure de propriété des firmes cotées en Europe (1988-2007)</w:t>
      </w:r>
      <w:r w:rsidR="00EA771A">
        <w:rPr>
          <w:rFonts w:ascii="Arial" w:hAnsi="Arial" w:cs="Arial"/>
          <w:sz w:val="24"/>
          <w:szCs w:val="24"/>
          <w:lang w:val="fr-FR"/>
        </w:rPr>
        <w:t xml:space="preserve"> », </w:t>
      </w:r>
      <w:r w:rsidR="00EA771A" w:rsidRPr="00971E28">
        <w:rPr>
          <w:rFonts w:ascii="Arial" w:hAnsi="Arial" w:cs="Arial"/>
          <w:i/>
          <w:iCs/>
          <w:sz w:val="24"/>
          <w:szCs w:val="24"/>
          <w:lang w:val="fr-FR"/>
        </w:rPr>
        <w:t>Recherches en Sciences de Gestion</w:t>
      </w:r>
      <w:r w:rsidR="00EA771A">
        <w:rPr>
          <w:rFonts w:ascii="Arial" w:hAnsi="Arial" w:cs="Arial"/>
          <w:sz w:val="24"/>
          <w:szCs w:val="24"/>
          <w:lang w:val="fr-FR"/>
        </w:rPr>
        <w:t>, Vol.</w:t>
      </w:r>
      <w:r w:rsidR="00971E28">
        <w:rPr>
          <w:rFonts w:ascii="Arial" w:hAnsi="Arial" w:cs="Arial"/>
          <w:sz w:val="24"/>
          <w:szCs w:val="24"/>
          <w:lang w:val="fr-FR"/>
        </w:rPr>
        <w:t>4, n°85, pp.19-41</w:t>
      </w:r>
    </w:p>
    <w:p w14:paraId="011C4F60" w14:textId="4CB4C77F" w:rsidR="00DB3AB2" w:rsidRDefault="00DB3AB2" w:rsidP="00C8708A">
      <w:pPr>
        <w:pStyle w:val="Paragraphedeliste"/>
        <w:numPr>
          <w:ilvl w:val="0"/>
          <w:numId w:val="5"/>
        </w:numPr>
        <w:spacing w:line="240" w:lineRule="auto"/>
        <w:jc w:val="both"/>
        <w:rPr>
          <w:rFonts w:ascii="Arial" w:hAnsi="Arial" w:cs="Arial"/>
          <w:sz w:val="24"/>
          <w:szCs w:val="24"/>
        </w:rPr>
      </w:pPr>
      <w:r>
        <w:rPr>
          <w:rFonts w:ascii="Arial" w:hAnsi="Arial" w:cs="Arial"/>
          <w:sz w:val="24"/>
          <w:szCs w:val="24"/>
        </w:rPr>
        <w:t xml:space="preserve">Rossi F., Barth J., </w:t>
      </w:r>
      <w:proofErr w:type="spellStart"/>
      <w:r>
        <w:rPr>
          <w:rFonts w:ascii="Arial" w:hAnsi="Arial" w:cs="Arial"/>
          <w:sz w:val="24"/>
          <w:szCs w:val="24"/>
        </w:rPr>
        <w:t>Cebula</w:t>
      </w:r>
      <w:proofErr w:type="spellEnd"/>
      <w:r>
        <w:rPr>
          <w:rFonts w:ascii="Arial" w:hAnsi="Arial" w:cs="Arial"/>
          <w:sz w:val="24"/>
          <w:szCs w:val="24"/>
        </w:rPr>
        <w:t xml:space="preserve"> R. (2018), « </w:t>
      </w:r>
      <w:r w:rsidR="00B06B15" w:rsidRPr="00B06B15">
        <w:rPr>
          <w:rFonts w:ascii="Arial" w:hAnsi="Arial" w:cs="Arial"/>
          <w:sz w:val="24"/>
          <w:szCs w:val="24"/>
        </w:rPr>
        <w:t xml:space="preserve">Do </w:t>
      </w:r>
      <w:proofErr w:type="spellStart"/>
      <w:r w:rsidR="00B06B15" w:rsidRPr="00B06B15">
        <w:rPr>
          <w:rFonts w:ascii="Arial" w:hAnsi="Arial" w:cs="Arial"/>
          <w:sz w:val="24"/>
          <w:szCs w:val="24"/>
        </w:rPr>
        <w:t>shareholder</w:t>
      </w:r>
      <w:proofErr w:type="spellEnd"/>
      <w:r w:rsidR="00B06B15" w:rsidRPr="00B06B15">
        <w:rPr>
          <w:rFonts w:ascii="Arial" w:hAnsi="Arial" w:cs="Arial"/>
          <w:sz w:val="24"/>
          <w:szCs w:val="24"/>
        </w:rPr>
        <w:t xml:space="preserve"> coalitions affect </w:t>
      </w:r>
      <w:proofErr w:type="spellStart"/>
      <w:r w:rsidR="00B06B15" w:rsidRPr="00B06B15">
        <w:rPr>
          <w:rFonts w:ascii="Arial" w:hAnsi="Arial" w:cs="Arial"/>
          <w:sz w:val="24"/>
          <w:szCs w:val="24"/>
        </w:rPr>
        <w:t>agency</w:t>
      </w:r>
      <w:proofErr w:type="spellEnd"/>
      <w:r w:rsidR="00B06B15" w:rsidRPr="00B06B15">
        <w:rPr>
          <w:rFonts w:ascii="Arial" w:hAnsi="Arial" w:cs="Arial"/>
          <w:sz w:val="24"/>
          <w:szCs w:val="24"/>
        </w:rPr>
        <w:t xml:space="preserve"> </w:t>
      </w:r>
      <w:proofErr w:type="spellStart"/>
      <w:r w:rsidR="00B06B15" w:rsidRPr="00B06B15">
        <w:rPr>
          <w:rFonts w:ascii="Arial" w:hAnsi="Arial" w:cs="Arial"/>
          <w:sz w:val="24"/>
          <w:szCs w:val="24"/>
        </w:rPr>
        <w:t>costs</w:t>
      </w:r>
      <w:proofErr w:type="spellEnd"/>
      <w:r w:rsidR="006C1F96">
        <w:rPr>
          <w:rFonts w:ascii="Arial" w:hAnsi="Arial" w:cs="Arial"/>
          <w:sz w:val="24"/>
          <w:szCs w:val="24"/>
        </w:rPr>
        <w:t xml:space="preserve"> </w:t>
      </w:r>
      <w:r w:rsidR="00B06B15" w:rsidRPr="00B06B15">
        <w:rPr>
          <w:rFonts w:ascii="Arial" w:hAnsi="Arial" w:cs="Arial"/>
          <w:sz w:val="24"/>
          <w:szCs w:val="24"/>
        </w:rPr>
        <w:t xml:space="preserve">? Evidence </w:t>
      </w:r>
      <w:proofErr w:type="spellStart"/>
      <w:r w:rsidR="00B06B15" w:rsidRPr="00B06B15">
        <w:rPr>
          <w:rFonts w:ascii="Arial" w:hAnsi="Arial" w:cs="Arial"/>
          <w:sz w:val="24"/>
          <w:szCs w:val="24"/>
        </w:rPr>
        <w:t>from</w:t>
      </w:r>
      <w:proofErr w:type="spellEnd"/>
      <w:r w:rsidR="00B06B15" w:rsidRPr="00B06B15">
        <w:rPr>
          <w:rFonts w:ascii="Arial" w:hAnsi="Arial" w:cs="Arial"/>
          <w:sz w:val="24"/>
          <w:szCs w:val="24"/>
        </w:rPr>
        <w:t xml:space="preserve"> </w:t>
      </w:r>
      <w:proofErr w:type="spellStart"/>
      <w:r w:rsidR="00B06B15" w:rsidRPr="00B06B15">
        <w:rPr>
          <w:rFonts w:ascii="Arial" w:hAnsi="Arial" w:cs="Arial"/>
          <w:sz w:val="24"/>
          <w:szCs w:val="24"/>
        </w:rPr>
        <w:t>Italian-listed</w:t>
      </w:r>
      <w:proofErr w:type="spellEnd"/>
      <w:r w:rsidR="00B06B15" w:rsidRPr="00B06B15">
        <w:rPr>
          <w:rFonts w:ascii="Arial" w:hAnsi="Arial" w:cs="Arial"/>
          <w:sz w:val="24"/>
          <w:szCs w:val="24"/>
        </w:rPr>
        <w:t xml:space="preserve"> </w:t>
      </w:r>
      <w:proofErr w:type="spellStart"/>
      <w:r w:rsidR="00B06B15" w:rsidRPr="00B06B15">
        <w:rPr>
          <w:rFonts w:ascii="Arial" w:hAnsi="Arial" w:cs="Arial"/>
          <w:sz w:val="24"/>
          <w:szCs w:val="24"/>
        </w:rPr>
        <w:t>companies</w:t>
      </w:r>
      <w:proofErr w:type="spellEnd"/>
      <w:r w:rsidR="0061445E">
        <w:rPr>
          <w:rFonts w:ascii="Arial" w:hAnsi="Arial" w:cs="Arial"/>
          <w:sz w:val="24"/>
          <w:szCs w:val="24"/>
        </w:rPr>
        <w:t xml:space="preserve"> », </w:t>
      </w:r>
      <w:proofErr w:type="spellStart"/>
      <w:r w:rsidR="0061445E" w:rsidRPr="0061445E">
        <w:rPr>
          <w:rFonts w:ascii="Arial" w:hAnsi="Arial" w:cs="Arial"/>
          <w:i/>
          <w:iCs/>
          <w:sz w:val="24"/>
          <w:szCs w:val="24"/>
        </w:rPr>
        <w:t>Research</w:t>
      </w:r>
      <w:proofErr w:type="spellEnd"/>
      <w:r w:rsidR="0061445E" w:rsidRPr="0061445E">
        <w:rPr>
          <w:rFonts w:ascii="Arial" w:hAnsi="Arial" w:cs="Arial"/>
          <w:i/>
          <w:iCs/>
          <w:sz w:val="24"/>
          <w:szCs w:val="24"/>
        </w:rPr>
        <w:t xml:space="preserve"> in International Business and Finance</w:t>
      </w:r>
      <w:r w:rsidR="0061445E">
        <w:rPr>
          <w:rFonts w:ascii="Arial" w:hAnsi="Arial" w:cs="Arial"/>
          <w:sz w:val="24"/>
          <w:szCs w:val="24"/>
        </w:rPr>
        <w:t>, Vol.46, pp.</w:t>
      </w:r>
      <w:r w:rsidR="001C5222">
        <w:rPr>
          <w:rFonts w:ascii="Arial" w:hAnsi="Arial" w:cs="Arial"/>
          <w:sz w:val="24"/>
          <w:szCs w:val="24"/>
        </w:rPr>
        <w:t>181-200</w:t>
      </w:r>
    </w:p>
    <w:p w14:paraId="4E564374" w14:textId="0890E6A3" w:rsidR="00566599" w:rsidRDefault="000A1FEC" w:rsidP="000A1FEC">
      <w:pPr>
        <w:pStyle w:val="Paragraphedeliste"/>
        <w:numPr>
          <w:ilvl w:val="0"/>
          <w:numId w:val="5"/>
        </w:numPr>
        <w:jc w:val="both"/>
        <w:rPr>
          <w:rFonts w:ascii="Arial" w:hAnsi="Arial" w:cs="Arial"/>
          <w:sz w:val="24"/>
          <w:szCs w:val="24"/>
        </w:rPr>
      </w:pPr>
      <w:proofErr w:type="spellStart"/>
      <w:r w:rsidRPr="000A1FEC">
        <w:rPr>
          <w:rFonts w:ascii="Arial" w:hAnsi="Arial" w:cs="Arial"/>
          <w:sz w:val="24"/>
          <w:szCs w:val="24"/>
        </w:rPr>
        <w:t>Sacristan</w:t>
      </w:r>
      <w:proofErr w:type="spellEnd"/>
      <w:r w:rsidRPr="000A1FEC">
        <w:rPr>
          <w:rFonts w:ascii="Arial" w:hAnsi="Arial" w:cs="Arial"/>
          <w:sz w:val="24"/>
          <w:szCs w:val="24"/>
        </w:rPr>
        <w:t xml:space="preserve">-Navarro M., </w:t>
      </w:r>
      <w:proofErr w:type="spellStart"/>
      <w:r w:rsidRPr="000A1FEC">
        <w:rPr>
          <w:rFonts w:ascii="Arial" w:hAnsi="Arial" w:cs="Arial"/>
          <w:sz w:val="24"/>
          <w:szCs w:val="24"/>
        </w:rPr>
        <w:t>Cabeza</w:t>
      </w:r>
      <w:proofErr w:type="spellEnd"/>
      <w:r w:rsidRPr="000A1FEC">
        <w:rPr>
          <w:rFonts w:ascii="Arial" w:hAnsi="Arial" w:cs="Arial"/>
          <w:sz w:val="24"/>
          <w:szCs w:val="24"/>
        </w:rPr>
        <w:t xml:space="preserve">-Garcia L., Gomez-Anson S. (2015), « The </w:t>
      </w:r>
      <w:proofErr w:type="spellStart"/>
      <w:r w:rsidRPr="000A1FEC">
        <w:rPr>
          <w:rFonts w:ascii="Arial" w:hAnsi="Arial" w:cs="Arial"/>
          <w:sz w:val="24"/>
          <w:szCs w:val="24"/>
        </w:rPr>
        <w:t>CompanyYou</w:t>
      </w:r>
      <w:proofErr w:type="spellEnd"/>
      <w:r w:rsidRPr="000A1FEC">
        <w:rPr>
          <w:rFonts w:ascii="Arial" w:hAnsi="Arial" w:cs="Arial"/>
          <w:sz w:val="24"/>
          <w:szCs w:val="24"/>
        </w:rPr>
        <w:t xml:space="preserve"> </w:t>
      </w:r>
      <w:proofErr w:type="spellStart"/>
      <w:proofErr w:type="gramStart"/>
      <w:r w:rsidRPr="000A1FEC">
        <w:rPr>
          <w:rFonts w:ascii="Arial" w:hAnsi="Arial" w:cs="Arial"/>
          <w:sz w:val="24"/>
          <w:szCs w:val="24"/>
        </w:rPr>
        <w:t>Keep:TheEffect</w:t>
      </w:r>
      <w:proofErr w:type="spellEnd"/>
      <w:proofErr w:type="gramEnd"/>
      <w:r w:rsidRPr="000A1FEC">
        <w:rPr>
          <w:rFonts w:ascii="Arial" w:hAnsi="Arial" w:cs="Arial"/>
          <w:sz w:val="24"/>
          <w:szCs w:val="24"/>
        </w:rPr>
        <w:t xml:space="preserve"> of </w:t>
      </w:r>
      <w:proofErr w:type="spellStart"/>
      <w:r w:rsidRPr="000A1FEC">
        <w:rPr>
          <w:rFonts w:ascii="Arial" w:hAnsi="Arial" w:cs="Arial"/>
          <w:sz w:val="24"/>
          <w:szCs w:val="24"/>
        </w:rPr>
        <w:t>Other</w:t>
      </w:r>
      <w:proofErr w:type="spellEnd"/>
      <w:r w:rsidRPr="000A1FEC">
        <w:rPr>
          <w:rFonts w:ascii="Arial" w:hAnsi="Arial" w:cs="Arial"/>
          <w:sz w:val="24"/>
          <w:szCs w:val="24"/>
        </w:rPr>
        <w:t xml:space="preserve"> Large </w:t>
      </w:r>
      <w:proofErr w:type="spellStart"/>
      <w:r w:rsidRPr="000A1FEC">
        <w:rPr>
          <w:rFonts w:ascii="Arial" w:hAnsi="Arial" w:cs="Arial"/>
          <w:sz w:val="24"/>
          <w:szCs w:val="24"/>
        </w:rPr>
        <w:t>Shareholders</w:t>
      </w:r>
      <w:proofErr w:type="spellEnd"/>
      <w:r w:rsidRPr="000A1FEC">
        <w:rPr>
          <w:rFonts w:ascii="Arial" w:hAnsi="Arial" w:cs="Arial"/>
          <w:sz w:val="24"/>
          <w:szCs w:val="24"/>
        </w:rPr>
        <w:t xml:space="preserve"> in Family </w:t>
      </w:r>
      <w:proofErr w:type="spellStart"/>
      <w:r w:rsidRPr="000A1FEC">
        <w:rPr>
          <w:rFonts w:ascii="Arial" w:hAnsi="Arial" w:cs="Arial"/>
          <w:sz w:val="24"/>
          <w:szCs w:val="24"/>
        </w:rPr>
        <w:t>Firms</w:t>
      </w:r>
      <w:proofErr w:type="spellEnd"/>
      <w:r w:rsidRPr="000A1FEC">
        <w:rPr>
          <w:rFonts w:ascii="Arial" w:hAnsi="Arial" w:cs="Arial"/>
          <w:sz w:val="24"/>
          <w:szCs w:val="24"/>
        </w:rPr>
        <w:t xml:space="preserve"> », </w:t>
      </w:r>
      <w:proofErr w:type="spellStart"/>
      <w:r w:rsidRPr="000A1FEC">
        <w:rPr>
          <w:rFonts w:ascii="Arial" w:hAnsi="Arial" w:cs="Arial"/>
          <w:i/>
          <w:iCs/>
          <w:sz w:val="24"/>
          <w:szCs w:val="24"/>
        </w:rPr>
        <w:t>Corporate</w:t>
      </w:r>
      <w:proofErr w:type="spellEnd"/>
      <w:r w:rsidRPr="000A1FEC">
        <w:rPr>
          <w:rFonts w:ascii="Arial" w:hAnsi="Arial" w:cs="Arial"/>
          <w:i/>
          <w:iCs/>
          <w:sz w:val="24"/>
          <w:szCs w:val="24"/>
        </w:rPr>
        <w:t xml:space="preserve"> </w:t>
      </w:r>
      <w:proofErr w:type="spellStart"/>
      <w:r w:rsidRPr="000A1FEC">
        <w:rPr>
          <w:rFonts w:ascii="Arial" w:hAnsi="Arial" w:cs="Arial"/>
          <w:i/>
          <w:iCs/>
          <w:sz w:val="24"/>
          <w:szCs w:val="24"/>
        </w:rPr>
        <w:t>Governance</w:t>
      </w:r>
      <w:proofErr w:type="spellEnd"/>
      <w:r w:rsidRPr="000A1FEC">
        <w:rPr>
          <w:rFonts w:ascii="Arial" w:hAnsi="Arial" w:cs="Arial"/>
          <w:i/>
          <w:iCs/>
          <w:sz w:val="24"/>
          <w:szCs w:val="24"/>
        </w:rPr>
        <w:t xml:space="preserve">: An International </w:t>
      </w:r>
      <w:proofErr w:type="spellStart"/>
      <w:r w:rsidRPr="000A1FEC">
        <w:rPr>
          <w:rFonts w:ascii="Arial" w:hAnsi="Arial" w:cs="Arial"/>
          <w:i/>
          <w:iCs/>
          <w:sz w:val="24"/>
          <w:szCs w:val="24"/>
        </w:rPr>
        <w:t>Review</w:t>
      </w:r>
      <w:proofErr w:type="spellEnd"/>
      <w:r w:rsidRPr="000A1FEC">
        <w:rPr>
          <w:rFonts w:ascii="Arial" w:hAnsi="Arial" w:cs="Arial"/>
          <w:sz w:val="24"/>
          <w:szCs w:val="24"/>
        </w:rPr>
        <w:t>, vol.23, n°3, pp. 216–233</w:t>
      </w:r>
    </w:p>
    <w:p w14:paraId="39EC9DE8" w14:textId="6889E706" w:rsidR="00355DD2" w:rsidRPr="00355DD2" w:rsidRDefault="00355DD2" w:rsidP="000A1FEC">
      <w:pPr>
        <w:pStyle w:val="Paragraphedeliste"/>
        <w:numPr>
          <w:ilvl w:val="0"/>
          <w:numId w:val="5"/>
        </w:numPr>
        <w:jc w:val="both"/>
        <w:rPr>
          <w:rFonts w:ascii="Arial" w:hAnsi="Arial" w:cs="Arial"/>
          <w:sz w:val="24"/>
          <w:szCs w:val="24"/>
        </w:rPr>
      </w:pPr>
      <w:proofErr w:type="spellStart"/>
      <w:proofErr w:type="gramStart"/>
      <w:r w:rsidRPr="00355DD2">
        <w:rPr>
          <w:rFonts w:ascii="Arial" w:hAnsi="Arial" w:cs="Arial"/>
          <w:sz w:val="24"/>
          <w:szCs w:val="24"/>
        </w:rPr>
        <w:t>Stake,R.E</w:t>
      </w:r>
      <w:proofErr w:type="spellEnd"/>
      <w:r w:rsidRPr="00355DD2">
        <w:rPr>
          <w:rFonts w:ascii="Arial" w:hAnsi="Arial" w:cs="Arial"/>
          <w:sz w:val="24"/>
          <w:szCs w:val="24"/>
        </w:rPr>
        <w:t>.</w:t>
      </w:r>
      <w:proofErr w:type="gramEnd"/>
      <w:r w:rsidRPr="00355DD2">
        <w:rPr>
          <w:rFonts w:ascii="Arial" w:hAnsi="Arial" w:cs="Arial"/>
          <w:sz w:val="24"/>
          <w:szCs w:val="24"/>
        </w:rPr>
        <w:t xml:space="preserve">, (1995),The Art of Case </w:t>
      </w:r>
      <w:proofErr w:type="spellStart"/>
      <w:r w:rsidRPr="00355DD2">
        <w:rPr>
          <w:rFonts w:ascii="Arial" w:hAnsi="Arial" w:cs="Arial"/>
          <w:sz w:val="24"/>
          <w:szCs w:val="24"/>
        </w:rPr>
        <w:t>Study</w:t>
      </w:r>
      <w:proofErr w:type="spellEnd"/>
      <w:r w:rsidRPr="00355DD2">
        <w:rPr>
          <w:rFonts w:ascii="Arial" w:hAnsi="Arial" w:cs="Arial"/>
          <w:sz w:val="24"/>
          <w:szCs w:val="24"/>
        </w:rPr>
        <w:t xml:space="preserve"> </w:t>
      </w:r>
      <w:proofErr w:type="spellStart"/>
      <w:r w:rsidRPr="00355DD2">
        <w:rPr>
          <w:rFonts w:ascii="Arial" w:hAnsi="Arial" w:cs="Arial"/>
          <w:sz w:val="24"/>
          <w:szCs w:val="24"/>
        </w:rPr>
        <w:t>Research.London</w:t>
      </w:r>
      <w:proofErr w:type="spellEnd"/>
      <w:r w:rsidRPr="00355DD2">
        <w:rPr>
          <w:rFonts w:ascii="Arial" w:hAnsi="Arial" w:cs="Arial"/>
          <w:sz w:val="24"/>
          <w:szCs w:val="24"/>
        </w:rPr>
        <w:t>: Sage Publications.</w:t>
      </w:r>
    </w:p>
    <w:p w14:paraId="7DB3FBB4" w14:textId="616C841C" w:rsidR="00110B8C" w:rsidRDefault="00110B8C" w:rsidP="00C8708A">
      <w:pPr>
        <w:pStyle w:val="Paragraphedeliste"/>
        <w:numPr>
          <w:ilvl w:val="0"/>
          <w:numId w:val="5"/>
        </w:numPr>
        <w:spacing w:line="240" w:lineRule="auto"/>
        <w:jc w:val="both"/>
        <w:rPr>
          <w:rFonts w:ascii="Arial" w:hAnsi="Arial" w:cs="Arial"/>
          <w:sz w:val="24"/>
          <w:szCs w:val="24"/>
        </w:rPr>
      </w:pPr>
      <w:proofErr w:type="spellStart"/>
      <w:r>
        <w:rPr>
          <w:rFonts w:ascii="Arial" w:hAnsi="Arial" w:cs="Arial"/>
          <w:sz w:val="24"/>
          <w:szCs w:val="24"/>
        </w:rPr>
        <w:t>Stepanov</w:t>
      </w:r>
      <w:proofErr w:type="spellEnd"/>
      <w:r>
        <w:rPr>
          <w:rFonts w:ascii="Arial" w:hAnsi="Arial" w:cs="Arial"/>
          <w:sz w:val="24"/>
          <w:szCs w:val="24"/>
        </w:rPr>
        <w:t xml:space="preserve"> S., </w:t>
      </w:r>
      <w:proofErr w:type="spellStart"/>
      <w:r>
        <w:rPr>
          <w:rFonts w:ascii="Arial" w:hAnsi="Arial" w:cs="Arial"/>
          <w:sz w:val="24"/>
          <w:szCs w:val="24"/>
        </w:rPr>
        <w:t>Suvorov</w:t>
      </w:r>
      <w:proofErr w:type="spellEnd"/>
      <w:r>
        <w:rPr>
          <w:rFonts w:ascii="Arial" w:hAnsi="Arial" w:cs="Arial"/>
          <w:sz w:val="24"/>
          <w:szCs w:val="24"/>
        </w:rPr>
        <w:t xml:space="preserve"> A. (2017),</w:t>
      </w:r>
      <w:r w:rsidR="00266725">
        <w:rPr>
          <w:rFonts w:ascii="Arial" w:hAnsi="Arial" w:cs="Arial"/>
          <w:sz w:val="24"/>
          <w:szCs w:val="24"/>
        </w:rPr>
        <w:t xml:space="preserve"> «</w:t>
      </w:r>
      <w:r w:rsidR="00266725" w:rsidRPr="00FB3A92">
        <w:rPr>
          <w:rFonts w:ascii="Arial" w:hAnsi="Arial" w:cs="Arial"/>
          <w:sz w:val="24"/>
          <w:szCs w:val="24"/>
        </w:rPr>
        <w:t xml:space="preserve"> Agency</w:t>
      </w:r>
      <w:r w:rsidR="00FB3A92" w:rsidRPr="00FB3A92">
        <w:rPr>
          <w:rFonts w:ascii="Arial" w:hAnsi="Arial" w:cs="Arial"/>
          <w:sz w:val="24"/>
          <w:szCs w:val="24"/>
        </w:rPr>
        <w:t xml:space="preserve"> </w:t>
      </w:r>
      <w:proofErr w:type="spellStart"/>
      <w:r w:rsidR="00FB3A92" w:rsidRPr="00FB3A92">
        <w:rPr>
          <w:rFonts w:ascii="Arial" w:hAnsi="Arial" w:cs="Arial"/>
          <w:sz w:val="24"/>
          <w:szCs w:val="24"/>
        </w:rPr>
        <w:t>problem</w:t>
      </w:r>
      <w:proofErr w:type="spellEnd"/>
      <w:r w:rsidR="00FB3A92" w:rsidRPr="00FB3A92">
        <w:rPr>
          <w:rFonts w:ascii="Arial" w:hAnsi="Arial" w:cs="Arial"/>
          <w:sz w:val="24"/>
          <w:szCs w:val="24"/>
        </w:rPr>
        <w:t xml:space="preserve"> and </w:t>
      </w:r>
      <w:proofErr w:type="spellStart"/>
      <w:r w:rsidR="00FB3A92" w:rsidRPr="00FB3A92">
        <w:rPr>
          <w:rFonts w:ascii="Arial" w:hAnsi="Arial" w:cs="Arial"/>
          <w:sz w:val="24"/>
          <w:szCs w:val="24"/>
        </w:rPr>
        <w:t>ownership</w:t>
      </w:r>
      <w:proofErr w:type="spellEnd"/>
      <w:r w:rsidR="00FB3A92" w:rsidRPr="00FB3A92">
        <w:rPr>
          <w:rFonts w:ascii="Arial" w:hAnsi="Arial" w:cs="Arial"/>
          <w:sz w:val="24"/>
          <w:szCs w:val="24"/>
        </w:rPr>
        <w:t xml:space="preserve"> </w:t>
      </w:r>
      <w:proofErr w:type="gramStart"/>
      <w:r w:rsidR="00FB3A92" w:rsidRPr="00FB3A92">
        <w:rPr>
          <w:rFonts w:ascii="Arial" w:hAnsi="Arial" w:cs="Arial"/>
          <w:sz w:val="24"/>
          <w:szCs w:val="24"/>
        </w:rPr>
        <w:t>structure:</w:t>
      </w:r>
      <w:proofErr w:type="gramEnd"/>
      <w:r w:rsidR="00FB3A92" w:rsidRPr="00FB3A92">
        <w:rPr>
          <w:rFonts w:ascii="Arial" w:hAnsi="Arial" w:cs="Arial"/>
          <w:sz w:val="24"/>
          <w:szCs w:val="24"/>
        </w:rPr>
        <w:t xml:space="preserve"> </w:t>
      </w:r>
      <w:proofErr w:type="spellStart"/>
      <w:r w:rsidR="00FB3A92" w:rsidRPr="00FB3A92">
        <w:rPr>
          <w:rFonts w:ascii="Arial" w:hAnsi="Arial" w:cs="Arial"/>
          <w:sz w:val="24"/>
          <w:szCs w:val="24"/>
        </w:rPr>
        <w:t>Outside</w:t>
      </w:r>
      <w:proofErr w:type="spellEnd"/>
      <w:r w:rsidR="00FB3A92" w:rsidRPr="00FB3A92">
        <w:rPr>
          <w:rFonts w:ascii="Arial" w:hAnsi="Arial" w:cs="Arial"/>
          <w:sz w:val="24"/>
          <w:szCs w:val="24"/>
        </w:rPr>
        <w:t xml:space="preserve"> </w:t>
      </w:r>
      <w:proofErr w:type="spellStart"/>
      <w:r w:rsidR="00FB3A92" w:rsidRPr="00FB3A92">
        <w:rPr>
          <w:rFonts w:ascii="Arial" w:hAnsi="Arial" w:cs="Arial"/>
          <w:sz w:val="24"/>
          <w:szCs w:val="24"/>
        </w:rPr>
        <w:t>blockholder</w:t>
      </w:r>
      <w:proofErr w:type="spellEnd"/>
      <w:r w:rsidR="00FB3A92" w:rsidRPr="00FB3A92">
        <w:rPr>
          <w:rFonts w:ascii="Arial" w:hAnsi="Arial" w:cs="Arial"/>
          <w:sz w:val="24"/>
          <w:szCs w:val="24"/>
        </w:rPr>
        <w:t xml:space="preserve"> as a signal</w:t>
      </w:r>
      <w:r w:rsidR="00266725">
        <w:rPr>
          <w:rFonts w:ascii="Arial" w:hAnsi="Arial" w:cs="Arial"/>
          <w:sz w:val="24"/>
          <w:szCs w:val="24"/>
        </w:rPr>
        <w:t xml:space="preserve"> </w:t>
      </w:r>
      <w:r w:rsidR="00FB3A92">
        <w:rPr>
          <w:rFonts w:ascii="Arial" w:hAnsi="Arial" w:cs="Arial"/>
          <w:sz w:val="24"/>
          <w:szCs w:val="24"/>
        </w:rPr>
        <w:t xml:space="preserve">», </w:t>
      </w:r>
      <w:r w:rsidR="00FB3A92" w:rsidRPr="00FB3A92">
        <w:rPr>
          <w:rFonts w:ascii="Arial" w:hAnsi="Arial" w:cs="Arial"/>
          <w:i/>
          <w:iCs/>
          <w:sz w:val="24"/>
          <w:szCs w:val="24"/>
        </w:rPr>
        <w:t xml:space="preserve">Journal of </w:t>
      </w:r>
      <w:proofErr w:type="spellStart"/>
      <w:r w:rsidR="00FB3A92" w:rsidRPr="00FB3A92">
        <w:rPr>
          <w:rFonts w:ascii="Arial" w:hAnsi="Arial" w:cs="Arial"/>
          <w:i/>
          <w:iCs/>
          <w:sz w:val="24"/>
          <w:szCs w:val="24"/>
        </w:rPr>
        <w:t>Economic</w:t>
      </w:r>
      <w:proofErr w:type="spellEnd"/>
      <w:r w:rsidR="00FB3A92" w:rsidRPr="00FB3A92">
        <w:rPr>
          <w:rFonts w:ascii="Arial" w:hAnsi="Arial" w:cs="Arial"/>
          <w:i/>
          <w:iCs/>
          <w:sz w:val="24"/>
          <w:szCs w:val="24"/>
        </w:rPr>
        <w:t xml:space="preserve"> </w:t>
      </w:r>
      <w:proofErr w:type="spellStart"/>
      <w:r w:rsidR="00FB3A92" w:rsidRPr="00FB3A92">
        <w:rPr>
          <w:rFonts w:ascii="Arial" w:hAnsi="Arial" w:cs="Arial"/>
          <w:i/>
          <w:iCs/>
          <w:sz w:val="24"/>
          <w:szCs w:val="24"/>
        </w:rPr>
        <w:t>Behavior</w:t>
      </w:r>
      <w:proofErr w:type="spellEnd"/>
      <w:r w:rsidR="00FB3A92" w:rsidRPr="00FB3A92">
        <w:rPr>
          <w:rFonts w:ascii="Arial" w:hAnsi="Arial" w:cs="Arial"/>
          <w:i/>
          <w:iCs/>
          <w:sz w:val="24"/>
          <w:szCs w:val="24"/>
        </w:rPr>
        <w:t xml:space="preserve"> &amp; </w:t>
      </w:r>
      <w:proofErr w:type="spellStart"/>
      <w:r w:rsidR="00FB3A92" w:rsidRPr="00FB3A92">
        <w:rPr>
          <w:rFonts w:ascii="Arial" w:hAnsi="Arial" w:cs="Arial"/>
          <w:i/>
          <w:iCs/>
          <w:sz w:val="24"/>
          <w:szCs w:val="24"/>
        </w:rPr>
        <w:t>Organization</w:t>
      </w:r>
      <w:proofErr w:type="spellEnd"/>
      <w:r w:rsidR="00FB3A92">
        <w:rPr>
          <w:rFonts w:ascii="Arial" w:hAnsi="Arial" w:cs="Arial"/>
          <w:sz w:val="24"/>
          <w:szCs w:val="24"/>
        </w:rPr>
        <w:t xml:space="preserve">, </w:t>
      </w:r>
      <w:r w:rsidR="00266725">
        <w:rPr>
          <w:rFonts w:ascii="Arial" w:hAnsi="Arial" w:cs="Arial"/>
          <w:sz w:val="24"/>
          <w:szCs w:val="24"/>
        </w:rPr>
        <w:t>Vol.133, pp.87-107</w:t>
      </w:r>
    </w:p>
    <w:p w14:paraId="1B152015" w14:textId="30BF73C2" w:rsidR="003A6A46" w:rsidRDefault="003A6A46" w:rsidP="00E74CDF">
      <w:pPr>
        <w:pStyle w:val="Paragraphedeliste"/>
        <w:numPr>
          <w:ilvl w:val="0"/>
          <w:numId w:val="5"/>
        </w:numPr>
        <w:spacing w:line="240" w:lineRule="auto"/>
        <w:jc w:val="both"/>
        <w:rPr>
          <w:rFonts w:ascii="Arial" w:hAnsi="Arial" w:cs="Arial"/>
          <w:sz w:val="24"/>
          <w:szCs w:val="24"/>
        </w:rPr>
      </w:pPr>
      <w:r w:rsidRPr="00F121F9">
        <w:rPr>
          <w:rFonts w:ascii="Arial" w:hAnsi="Arial" w:cs="Arial"/>
          <w:sz w:val="24"/>
          <w:szCs w:val="24"/>
        </w:rPr>
        <w:t>Sutton</w:t>
      </w:r>
      <w:r>
        <w:rPr>
          <w:rFonts w:ascii="Arial" w:hAnsi="Arial" w:cs="Arial"/>
          <w:sz w:val="24"/>
          <w:szCs w:val="24"/>
        </w:rPr>
        <w:t xml:space="preserve"> C., </w:t>
      </w:r>
      <w:proofErr w:type="spellStart"/>
      <w:r w:rsidRPr="00F121F9">
        <w:rPr>
          <w:rFonts w:ascii="Arial" w:hAnsi="Arial" w:cs="Arial"/>
          <w:sz w:val="24"/>
          <w:szCs w:val="24"/>
        </w:rPr>
        <w:t>Veliyath</w:t>
      </w:r>
      <w:proofErr w:type="spellEnd"/>
      <w:r>
        <w:rPr>
          <w:rFonts w:ascii="Arial" w:hAnsi="Arial" w:cs="Arial"/>
          <w:sz w:val="24"/>
          <w:szCs w:val="24"/>
        </w:rPr>
        <w:t xml:space="preserve"> R., </w:t>
      </w:r>
      <w:proofErr w:type="spellStart"/>
      <w:r w:rsidRPr="00F121F9">
        <w:rPr>
          <w:rFonts w:ascii="Arial" w:hAnsi="Arial" w:cs="Arial"/>
          <w:sz w:val="24"/>
          <w:szCs w:val="24"/>
        </w:rPr>
        <w:t>Pieper</w:t>
      </w:r>
      <w:proofErr w:type="spellEnd"/>
      <w:r>
        <w:rPr>
          <w:rFonts w:ascii="Arial" w:hAnsi="Arial" w:cs="Arial"/>
          <w:sz w:val="24"/>
          <w:szCs w:val="24"/>
        </w:rPr>
        <w:t xml:space="preserve"> T., </w:t>
      </w:r>
      <w:r w:rsidRPr="00F121F9">
        <w:rPr>
          <w:rFonts w:ascii="Arial" w:hAnsi="Arial" w:cs="Arial"/>
          <w:sz w:val="24"/>
          <w:szCs w:val="24"/>
        </w:rPr>
        <w:t xml:space="preserve">Joseph </w:t>
      </w:r>
      <w:proofErr w:type="spellStart"/>
      <w:proofErr w:type="gramStart"/>
      <w:r w:rsidRPr="00F121F9">
        <w:rPr>
          <w:rFonts w:ascii="Arial" w:hAnsi="Arial" w:cs="Arial"/>
          <w:sz w:val="24"/>
          <w:szCs w:val="24"/>
        </w:rPr>
        <w:t>F.HairJr</w:t>
      </w:r>
      <w:proofErr w:type="spellEnd"/>
      <w:proofErr w:type="gramEnd"/>
      <w:r>
        <w:rPr>
          <w:rFonts w:ascii="Arial" w:hAnsi="Arial" w:cs="Arial"/>
          <w:sz w:val="24"/>
          <w:szCs w:val="24"/>
        </w:rPr>
        <w:t xml:space="preserve"> J., </w:t>
      </w:r>
      <w:proofErr w:type="spellStart"/>
      <w:r w:rsidRPr="00F121F9">
        <w:rPr>
          <w:rFonts w:ascii="Arial" w:hAnsi="Arial" w:cs="Arial"/>
          <w:sz w:val="24"/>
          <w:szCs w:val="24"/>
        </w:rPr>
        <w:t>Caylor</w:t>
      </w:r>
      <w:proofErr w:type="spellEnd"/>
      <w:r>
        <w:rPr>
          <w:rFonts w:ascii="Arial" w:hAnsi="Arial" w:cs="Arial"/>
          <w:sz w:val="24"/>
          <w:szCs w:val="24"/>
        </w:rPr>
        <w:t xml:space="preserve"> M. (2018</w:t>
      </w:r>
      <w:r w:rsidR="00CB4CAC">
        <w:rPr>
          <w:rFonts w:ascii="Arial" w:hAnsi="Arial" w:cs="Arial"/>
          <w:sz w:val="24"/>
          <w:szCs w:val="24"/>
        </w:rPr>
        <w:t>), « </w:t>
      </w:r>
      <w:proofErr w:type="spellStart"/>
      <w:r w:rsidR="00CB4CAC" w:rsidRPr="00CB4CAC">
        <w:rPr>
          <w:rFonts w:ascii="Arial" w:hAnsi="Arial" w:cs="Arial"/>
          <w:sz w:val="24"/>
          <w:szCs w:val="24"/>
        </w:rPr>
        <w:t>Secondary</w:t>
      </w:r>
      <w:proofErr w:type="spellEnd"/>
      <w:r w:rsidR="00CB4CAC" w:rsidRPr="00CB4CAC">
        <w:rPr>
          <w:rFonts w:ascii="Arial" w:hAnsi="Arial" w:cs="Arial"/>
          <w:sz w:val="24"/>
          <w:szCs w:val="24"/>
        </w:rPr>
        <w:t xml:space="preserve"> </w:t>
      </w:r>
      <w:proofErr w:type="spellStart"/>
      <w:r w:rsidR="00CB4CAC" w:rsidRPr="00CB4CAC">
        <w:rPr>
          <w:rFonts w:ascii="Arial" w:hAnsi="Arial" w:cs="Arial"/>
          <w:sz w:val="24"/>
          <w:szCs w:val="24"/>
        </w:rPr>
        <w:t>agency</w:t>
      </w:r>
      <w:proofErr w:type="spellEnd"/>
      <w:r w:rsidR="00CB4CAC" w:rsidRPr="00CB4CAC">
        <w:rPr>
          <w:rFonts w:ascii="Arial" w:hAnsi="Arial" w:cs="Arial"/>
          <w:sz w:val="24"/>
          <w:szCs w:val="24"/>
        </w:rPr>
        <w:t xml:space="preserve"> </w:t>
      </w:r>
      <w:proofErr w:type="spellStart"/>
      <w:r w:rsidR="00CB4CAC" w:rsidRPr="00CB4CAC">
        <w:rPr>
          <w:rFonts w:ascii="Arial" w:hAnsi="Arial" w:cs="Arial"/>
          <w:sz w:val="24"/>
          <w:szCs w:val="24"/>
        </w:rPr>
        <w:t>conflicts</w:t>
      </w:r>
      <w:proofErr w:type="spellEnd"/>
      <w:r w:rsidR="00CB4CAC" w:rsidRPr="00CB4CAC">
        <w:rPr>
          <w:rFonts w:ascii="Arial" w:hAnsi="Arial" w:cs="Arial"/>
          <w:sz w:val="24"/>
          <w:szCs w:val="24"/>
        </w:rPr>
        <w:t xml:space="preserve">: A </w:t>
      </w:r>
      <w:proofErr w:type="spellStart"/>
      <w:r w:rsidR="00CB4CAC" w:rsidRPr="00CB4CAC">
        <w:rPr>
          <w:rFonts w:ascii="Arial" w:hAnsi="Arial" w:cs="Arial"/>
          <w:sz w:val="24"/>
          <w:szCs w:val="24"/>
        </w:rPr>
        <w:t>synthesis</w:t>
      </w:r>
      <w:proofErr w:type="spellEnd"/>
      <w:r w:rsidR="00CB4CAC" w:rsidRPr="00CB4CAC">
        <w:rPr>
          <w:rFonts w:ascii="Arial" w:hAnsi="Arial" w:cs="Arial"/>
          <w:sz w:val="24"/>
          <w:szCs w:val="24"/>
        </w:rPr>
        <w:t xml:space="preserve"> and </w:t>
      </w:r>
      <w:proofErr w:type="spellStart"/>
      <w:r w:rsidR="00CB4CAC" w:rsidRPr="00CB4CAC">
        <w:rPr>
          <w:rFonts w:ascii="Arial" w:hAnsi="Arial" w:cs="Arial"/>
          <w:sz w:val="24"/>
          <w:szCs w:val="24"/>
        </w:rPr>
        <w:t>proposed</w:t>
      </w:r>
      <w:proofErr w:type="spellEnd"/>
      <w:r w:rsidR="00CB4CAC" w:rsidRPr="00CB4CAC">
        <w:rPr>
          <w:rFonts w:ascii="Arial" w:hAnsi="Arial" w:cs="Arial"/>
          <w:sz w:val="24"/>
          <w:szCs w:val="24"/>
        </w:rPr>
        <w:t xml:space="preserve"> </w:t>
      </w:r>
      <w:proofErr w:type="spellStart"/>
      <w:r w:rsidR="00CB4CAC" w:rsidRPr="00CB4CAC">
        <w:rPr>
          <w:rFonts w:ascii="Arial" w:hAnsi="Arial" w:cs="Arial"/>
          <w:sz w:val="24"/>
          <w:szCs w:val="24"/>
        </w:rPr>
        <w:t>measurement</w:t>
      </w:r>
      <w:proofErr w:type="spellEnd"/>
      <w:r w:rsidR="00CB4CAC" w:rsidRPr="00CB4CAC">
        <w:rPr>
          <w:rFonts w:ascii="Arial" w:hAnsi="Arial" w:cs="Arial"/>
          <w:sz w:val="24"/>
          <w:szCs w:val="24"/>
        </w:rPr>
        <w:t xml:space="preserve"> model</w:t>
      </w:r>
      <w:r w:rsidR="00CB4CAC">
        <w:rPr>
          <w:rFonts w:ascii="Arial" w:hAnsi="Arial" w:cs="Arial"/>
          <w:sz w:val="24"/>
          <w:szCs w:val="24"/>
        </w:rPr>
        <w:t xml:space="preserve"> », </w:t>
      </w:r>
      <w:r w:rsidR="00CB4CAC" w:rsidRPr="00E74CDF">
        <w:rPr>
          <w:rFonts w:ascii="Arial" w:hAnsi="Arial" w:cs="Arial"/>
          <w:i/>
          <w:iCs/>
          <w:sz w:val="24"/>
          <w:szCs w:val="24"/>
        </w:rPr>
        <w:t>Long Range Planning</w:t>
      </w:r>
      <w:r w:rsidR="00CB4CAC">
        <w:rPr>
          <w:rFonts w:ascii="Arial" w:hAnsi="Arial" w:cs="Arial"/>
          <w:sz w:val="24"/>
          <w:szCs w:val="24"/>
        </w:rPr>
        <w:t>,</w:t>
      </w:r>
      <w:r w:rsidR="00E74CDF">
        <w:rPr>
          <w:rFonts w:ascii="Arial" w:hAnsi="Arial" w:cs="Arial"/>
          <w:sz w:val="24"/>
          <w:szCs w:val="24"/>
        </w:rPr>
        <w:t xml:space="preserve"> Vol.51, n°5, pp.720-735</w:t>
      </w:r>
      <w:r w:rsidR="00CB4CAC" w:rsidRPr="00E74CDF">
        <w:rPr>
          <w:rFonts w:ascii="Arial" w:hAnsi="Arial" w:cs="Arial"/>
          <w:sz w:val="24"/>
          <w:szCs w:val="24"/>
        </w:rPr>
        <w:t xml:space="preserve"> </w:t>
      </w:r>
    </w:p>
    <w:p w14:paraId="3BC8A814" w14:textId="465BE890" w:rsidR="009520C4" w:rsidRPr="00E74CDF" w:rsidRDefault="009520C4" w:rsidP="00E74CDF">
      <w:pPr>
        <w:pStyle w:val="Paragraphedeliste"/>
        <w:numPr>
          <w:ilvl w:val="0"/>
          <w:numId w:val="5"/>
        </w:numPr>
        <w:spacing w:line="240" w:lineRule="auto"/>
        <w:jc w:val="both"/>
        <w:rPr>
          <w:rFonts w:ascii="Arial" w:hAnsi="Arial" w:cs="Arial"/>
          <w:sz w:val="24"/>
          <w:szCs w:val="24"/>
        </w:rPr>
      </w:pPr>
      <w:r w:rsidRPr="00513E49">
        <w:rPr>
          <w:rFonts w:ascii="Arial" w:hAnsi="Arial" w:cs="Arial"/>
          <w:sz w:val="24"/>
          <w:szCs w:val="24"/>
        </w:rPr>
        <w:t>W</w:t>
      </w:r>
      <w:r>
        <w:rPr>
          <w:rFonts w:ascii="Arial" w:hAnsi="Arial" w:cs="Arial"/>
          <w:sz w:val="24"/>
          <w:szCs w:val="24"/>
        </w:rPr>
        <w:t xml:space="preserve">u Z., </w:t>
      </w:r>
      <w:proofErr w:type="spellStart"/>
      <w:r w:rsidRPr="00513E49">
        <w:rPr>
          <w:rFonts w:ascii="Arial" w:hAnsi="Arial" w:cs="Arial"/>
          <w:sz w:val="24"/>
          <w:szCs w:val="24"/>
        </w:rPr>
        <w:t>Chua</w:t>
      </w:r>
      <w:proofErr w:type="spellEnd"/>
      <w:r>
        <w:rPr>
          <w:rFonts w:ascii="Arial" w:hAnsi="Arial" w:cs="Arial"/>
          <w:sz w:val="24"/>
          <w:szCs w:val="24"/>
        </w:rPr>
        <w:t xml:space="preserve"> J.,</w:t>
      </w:r>
      <w:r w:rsidRPr="00513E49">
        <w:rPr>
          <w:rFonts w:ascii="Arial" w:hAnsi="Arial" w:cs="Arial"/>
          <w:sz w:val="24"/>
          <w:szCs w:val="24"/>
        </w:rPr>
        <w:t xml:space="preserve"> </w:t>
      </w:r>
      <w:proofErr w:type="spellStart"/>
      <w:r w:rsidRPr="00513E49">
        <w:rPr>
          <w:rFonts w:ascii="Arial" w:hAnsi="Arial" w:cs="Arial"/>
          <w:sz w:val="24"/>
          <w:szCs w:val="24"/>
        </w:rPr>
        <w:t>Chrisman</w:t>
      </w:r>
      <w:proofErr w:type="spellEnd"/>
      <w:r>
        <w:rPr>
          <w:rFonts w:ascii="Arial" w:hAnsi="Arial" w:cs="Arial"/>
          <w:sz w:val="24"/>
          <w:szCs w:val="24"/>
        </w:rPr>
        <w:t xml:space="preserve"> J.</w:t>
      </w:r>
      <w:r w:rsidR="00E75F07">
        <w:rPr>
          <w:rFonts w:ascii="Arial" w:hAnsi="Arial" w:cs="Arial"/>
          <w:sz w:val="24"/>
          <w:szCs w:val="24"/>
        </w:rPr>
        <w:t xml:space="preserve"> (</w:t>
      </w:r>
      <w:r>
        <w:rPr>
          <w:rFonts w:ascii="Arial" w:hAnsi="Arial" w:cs="Arial"/>
          <w:sz w:val="24"/>
          <w:szCs w:val="24"/>
        </w:rPr>
        <w:t>2007</w:t>
      </w:r>
      <w:r w:rsidR="00E75F07">
        <w:rPr>
          <w:rFonts w:ascii="Arial" w:hAnsi="Arial" w:cs="Arial"/>
          <w:sz w:val="24"/>
          <w:szCs w:val="24"/>
        </w:rPr>
        <w:t>), « </w:t>
      </w:r>
      <w:proofErr w:type="spellStart"/>
      <w:r w:rsidR="00E75F07" w:rsidRPr="00E75F07">
        <w:rPr>
          <w:rFonts w:ascii="Arial" w:hAnsi="Arial" w:cs="Arial"/>
          <w:sz w:val="24"/>
          <w:szCs w:val="24"/>
        </w:rPr>
        <w:t>Effects</w:t>
      </w:r>
      <w:proofErr w:type="spellEnd"/>
      <w:r w:rsidR="00E75F07" w:rsidRPr="00E75F07">
        <w:rPr>
          <w:rFonts w:ascii="Arial" w:hAnsi="Arial" w:cs="Arial"/>
          <w:sz w:val="24"/>
          <w:szCs w:val="24"/>
        </w:rPr>
        <w:t xml:space="preserve"> of </w:t>
      </w:r>
      <w:proofErr w:type="spellStart"/>
      <w:r w:rsidR="00E75F07" w:rsidRPr="00E75F07">
        <w:rPr>
          <w:rFonts w:ascii="Arial" w:hAnsi="Arial" w:cs="Arial"/>
          <w:sz w:val="24"/>
          <w:szCs w:val="24"/>
        </w:rPr>
        <w:t>family</w:t>
      </w:r>
      <w:proofErr w:type="spellEnd"/>
      <w:r w:rsidR="00E75F07" w:rsidRPr="00E75F07">
        <w:rPr>
          <w:rFonts w:ascii="Arial" w:hAnsi="Arial" w:cs="Arial"/>
          <w:sz w:val="24"/>
          <w:szCs w:val="24"/>
        </w:rPr>
        <w:t xml:space="preserve"> </w:t>
      </w:r>
      <w:proofErr w:type="spellStart"/>
      <w:r w:rsidR="00E75F07" w:rsidRPr="00E75F07">
        <w:rPr>
          <w:rFonts w:ascii="Arial" w:hAnsi="Arial" w:cs="Arial"/>
          <w:sz w:val="24"/>
          <w:szCs w:val="24"/>
        </w:rPr>
        <w:t>ownership</w:t>
      </w:r>
      <w:proofErr w:type="spellEnd"/>
      <w:r w:rsidR="00E75F07" w:rsidRPr="00E75F07">
        <w:rPr>
          <w:rFonts w:ascii="Arial" w:hAnsi="Arial" w:cs="Arial"/>
          <w:sz w:val="24"/>
          <w:szCs w:val="24"/>
        </w:rPr>
        <w:t xml:space="preserve"> and management on </w:t>
      </w:r>
      <w:proofErr w:type="spellStart"/>
      <w:r w:rsidR="00E75F07" w:rsidRPr="00E75F07">
        <w:rPr>
          <w:rFonts w:ascii="Arial" w:hAnsi="Arial" w:cs="Arial"/>
          <w:sz w:val="24"/>
          <w:szCs w:val="24"/>
        </w:rPr>
        <w:t>small</w:t>
      </w:r>
      <w:proofErr w:type="spellEnd"/>
      <w:r w:rsidR="00E75F07" w:rsidRPr="00E75F07">
        <w:rPr>
          <w:rFonts w:ascii="Arial" w:hAnsi="Arial" w:cs="Arial"/>
          <w:sz w:val="24"/>
          <w:szCs w:val="24"/>
        </w:rPr>
        <w:t xml:space="preserve"> business </w:t>
      </w:r>
      <w:proofErr w:type="spellStart"/>
      <w:r w:rsidR="00E75F07" w:rsidRPr="00E75F07">
        <w:rPr>
          <w:rFonts w:ascii="Arial" w:hAnsi="Arial" w:cs="Arial"/>
          <w:sz w:val="24"/>
          <w:szCs w:val="24"/>
        </w:rPr>
        <w:t>equity</w:t>
      </w:r>
      <w:proofErr w:type="spellEnd"/>
      <w:r w:rsidR="00E75F07" w:rsidRPr="00E75F07">
        <w:rPr>
          <w:rFonts w:ascii="Arial" w:hAnsi="Arial" w:cs="Arial"/>
          <w:sz w:val="24"/>
          <w:szCs w:val="24"/>
        </w:rPr>
        <w:t xml:space="preserve"> </w:t>
      </w:r>
      <w:proofErr w:type="spellStart"/>
      <w:r w:rsidR="00E75F07" w:rsidRPr="00E75F07">
        <w:rPr>
          <w:rFonts w:ascii="Arial" w:hAnsi="Arial" w:cs="Arial"/>
          <w:sz w:val="24"/>
          <w:szCs w:val="24"/>
        </w:rPr>
        <w:t>financing</w:t>
      </w:r>
      <w:proofErr w:type="spellEnd"/>
      <w:r w:rsidR="00E75F07">
        <w:rPr>
          <w:rFonts w:ascii="Arial" w:hAnsi="Arial" w:cs="Arial"/>
          <w:sz w:val="24"/>
          <w:szCs w:val="24"/>
        </w:rPr>
        <w:t xml:space="preserve"> », </w:t>
      </w:r>
      <w:r w:rsidR="00AA15A1" w:rsidRPr="00AA15A1">
        <w:rPr>
          <w:rFonts w:ascii="Arial" w:hAnsi="Arial" w:cs="Arial"/>
          <w:i/>
          <w:iCs/>
          <w:sz w:val="24"/>
          <w:szCs w:val="24"/>
        </w:rPr>
        <w:t xml:space="preserve">Journal of Business </w:t>
      </w:r>
      <w:proofErr w:type="spellStart"/>
      <w:r w:rsidR="00AA15A1" w:rsidRPr="00AA15A1">
        <w:rPr>
          <w:rFonts w:ascii="Arial" w:hAnsi="Arial" w:cs="Arial"/>
          <w:i/>
          <w:iCs/>
          <w:sz w:val="24"/>
          <w:szCs w:val="24"/>
        </w:rPr>
        <w:t>Venturing</w:t>
      </w:r>
      <w:proofErr w:type="spellEnd"/>
      <w:r w:rsidR="00AA15A1">
        <w:rPr>
          <w:rFonts w:ascii="Arial" w:hAnsi="Arial" w:cs="Arial"/>
          <w:sz w:val="24"/>
          <w:szCs w:val="24"/>
        </w:rPr>
        <w:t>, Vol.22, n°6, pp.875-895</w:t>
      </w:r>
    </w:p>
    <w:p w14:paraId="75184FD2" w14:textId="2BF1E8DD" w:rsidR="00B45FFD" w:rsidRPr="00C8708A" w:rsidRDefault="00B45FFD" w:rsidP="00C8708A">
      <w:pPr>
        <w:pStyle w:val="Paragraphedeliste"/>
        <w:numPr>
          <w:ilvl w:val="0"/>
          <w:numId w:val="5"/>
        </w:numPr>
        <w:spacing w:line="240" w:lineRule="auto"/>
        <w:jc w:val="both"/>
        <w:rPr>
          <w:rFonts w:ascii="Arial" w:hAnsi="Arial" w:cs="Arial"/>
          <w:sz w:val="24"/>
          <w:szCs w:val="24"/>
        </w:rPr>
      </w:pPr>
      <w:r>
        <w:rPr>
          <w:rFonts w:ascii="Arial" w:hAnsi="Arial" w:cs="Arial"/>
          <w:sz w:val="24"/>
          <w:szCs w:val="24"/>
        </w:rPr>
        <w:t>Yeh C. (2018), « </w:t>
      </w:r>
      <w:proofErr w:type="spellStart"/>
      <w:r w:rsidR="00EF74DB" w:rsidRPr="00EF74DB">
        <w:rPr>
          <w:rFonts w:ascii="Arial" w:hAnsi="Arial" w:cs="Arial"/>
          <w:sz w:val="24"/>
          <w:szCs w:val="24"/>
        </w:rPr>
        <w:t>Does</w:t>
      </w:r>
      <w:proofErr w:type="spellEnd"/>
      <w:r w:rsidR="00EF74DB" w:rsidRPr="00EF74DB">
        <w:rPr>
          <w:rFonts w:ascii="Arial" w:hAnsi="Arial" w:cs="Arial"/>
          <w:sz w:val="24"/>
          <w:szCs w:val="24"/>
        </w:rPr>
        <w:t xml:space="preserve"> </w:t>
      </w:r>
      <w:proofErr w:type="spellStart"/>
      <w:r w:rsidR="00EF74DB" w:rsidRPr="00EF74DB">
        <w:rPr>
          <w:rFonts w:ascii="Arial" w:hAnsi="Arial" w:cs="Arial"/>
          <w:sz w:val="24"/>
          <w:szCs w:val="24"/>
        </w:rPr>
        <w:t>board</w:t>
      </w:r>
      <w:proofErr w:type="spellEnd"/>
      <w:r w:rsidR="00EF74DB" w:rsidRPr="00EF74DB">
        <w:rPr>
          <w:rFonts w:ascii="Arial" w:hAnsi="Arial" w:cs="Arial"/>
          <w:sz w:val="24"/>
          <w:szCs w:val="24"/>
        </w:rPr>
        <w:t xml:space="preserve"> </w:t>
      </w:r>
      <w:proofErr w:type="spellStart"/>
      <w:r w:rsidR="00EF74DB" w:rsidRPr="00EF74DB">
        <w:rPr>
          <w:rFonts w:ascii="Arial" w:hAnsi="Arial" w:cs="Arial"/>
          <w:sz w:val="24"/>
          <w:szCs w:val="24"/>
        </w:rPr>
        <w:t>governance</w:t>
      </w:r>
      <w:proofErr w:type="spellEnd"/>
      <w:r w:rsidR="00EF74DB" w:rsidRPr="00EF74DB">
        <w:rPr>
          <w:rFonts w:ascii="Arial" w:hAnsi="Arial" w:cs="Arial"/>
          <w:sz w:val="24"/>
          <w:szCs w:val="24"/>
        </w:rPr>
        <w:t xml:space="preserve"> </w:t>
      </w:r>
      <w:proofErr w:type="spellStart"/>
      <w:r w:rsidR="00EF74DB" w:rsidRPr="00EF74DB">
        <w:rPr>
          <w:rFonts w:ascii="Arial" w:hAnsi="Arial" w:cs="Arial"/>
          <w:sz w:val="24"/>
          <w:szCs w:val="24"/>
        </w:rPr>
        <w:t>matter</w:t>
      </w:r>
      <w:proofErr w:type="spellEnd"/>
      <w:r w:rsidR="00EF74DB" w:rsidRPr="00EF74DB">
        <w:rPr>
          <w:rFonts w:ascii="Arial" w:hAnsi="Arial" w:cs="Arial"/>
          <w:sz w:val="24"/>
          <w:szCs w:val="24"/>
        </w:rPr>
        <w:t xml:space="preserve"> for </w:t>
      </w:r>
      <w:proofErr w:type="spellStart"/>
      <w:r w:rsidR="00EF74DB" w:rsidRPr="00EF74DB">
        <w:rPr>
          <w:rFonts w:ascii="Arial" w:hAnsi="Arial" w:cs="Arial"/>
          <w:sz w:val="24"/>
          <w:szCs w:val="24"/>
        </w:rPr>
        <w:t>foreign</w:t>
      </w:r>
      <w:proofErr w:type="spellEnd"/>
      <w:r w:rsidR="00EF74DB" w:rsidRPr="00EF74DB">
        <w:rPr>
          <w:rFonts w:ascii="Arial" w:hAnsi="Arial" w:cs="Arial"/>
          <w:sz w:val="24"/>
          <w:szCs w:val="24"/>
        </w:rPr>
        <w:t xml:space="preserve"> </w:t>
      </w:r>
      <w:proofErr w:type="spellStart"/>
      <w:r w:rsidR="00EF74DB" w:rsidRPr="00EF74DB">
        <w:rPr>
          <w:rFonts w:ascii="Arial" w:hAnsi="Arial" w:cs="Arial"/>
          <w:sz w:val="24"/>
          <w:szCs w:val="24"/>
        </w:rPr>
        <w:t>institutional</w:t>
      </w:r>
      <w:proofErr w:type="spellEnd"/>
      <w:r w:rsidR="00EF74DB" w:rsidRPr="00EF74DB">
        <w:rPr>
          <w:rFonts w:ascii="Arial" w:hAnsi="Arial" w:cs="Arial"/>
          <w:sz w:val="24"/>
          <w:szCs w:val="24"/>
        </w:rPr>
        <w:t xml:space="preserve"> </w:t>
      </w:r>
      <w:proofErr w:type="spellStart"/>
      <w:r w:rsidR="00EF74DB" w:rsidRPr="00EF74DB">
        <w:rPr>
          <w:rFonts w:ascii="Arial" w:hAnsi="Arial" w:cs="Arial"/>
          <w:sz w:val="24"/>
          <w:szCs w:val="24"/>
        </w:rPr>
        <w:t>investors</w:t>
      </w:r>
      <w:proofErr w:type="spellEnd"/>
      <w:r w:rsidR="00EF74DB" w:rsidRPr="00EF74DB">
        <w:rPr>
          <w:rFonts w:ascii="Arial" w:hAnsi="Arial" w:cs="Arial"/>
          <w:sz w:val="24"/>
          <w:szCs w:val="24"/>
        </w:rPr>
        <w:t xml:space="preserve"> to </w:t>
      </w:r>
      <w:proofErr w:type="spellStart"/>
      <w:r w:rsidR="00EF74DB" w:rsidRPr="00EF74DB">
        <w:rPr>
          <w:rFonts w:ascii="Arial" w:hAnsi="Arial" w:cs="Arial"/>
          <w:sz w:val="24"/>
          <w:szCs w:val="24"/>
        </w:rPr>
        <w:t>invest</w:t>
      </w:r>
      <w:proofErr w:type="spellEnd"/>
      <w:r w:rsidR="00EF74DB" w:rsidRPr="00EF74DB">
        <w:rPr>
          <w:rFonts w:ascii="Arial" w:hAnsi="Arial" w:cs="Arial"/>
          <w:sz w:val="24"/>
          <w:szCs w:val="24"/>
        </w:rPr>
        <w:t xml:space="preserve"> in </w:t>
      </w:r>
      <w:proofErr w:type="spellStart"/>
      <w:r w:rsidR="00EF74DB" w:rsidRPr="00EF74DB">
        <w:rPr>
          <w:rFonts w:ascii="Arial" w:hAnsi="Arial" w:cs="Arial"/>
          <w:sz w:val="24"/>
          <w:szCs w:val="24"/>
        </w:rPr>
        <w:t>listed</w:t>
      </w:r>
      <w:proofErr w:type="spellEnd"/>
      <w:r w:rsidR="00EF74DB" w:rsidRPr="00EF74DB">
        <w:rPr>
          <w:rFonts w:ascii="Arial" w:hAnsi="Arial" w:cs="Arial"/>
          <w:sz w:val="24"/>
          <w:szCs w:val="24"/>
        </w:rPr>
        <w:t xml:space="preserve"> </w:t>
      </w:r>
      <w:proofErr w:type="spellStart"/>
      <w:r w:rsidR="00EF74DB" w:rsidRPr="00EF74DB">
        <w:rPr>
          <w:rFonts w:ascii="Arial" w:hAnsi="Arial" w:cs="Arial"/>
          <w:sz w:val="24"/>
          <w:szCs w:val="24"/>
        </w:rPr>
        <w:t>tourism</w:t>
      </w:r>
      <w:proofErr w:type="spellEnd"/>
      <w:r w:rsidR="00EF74DB" w:rsidRPr="00EF74DB">
        <w:rPr>
          <w:rFonts w:ascii="Arial" w:hAnsi="Arial" w:cs="Arial"/>
          <w:sz w:val="24"/>
          <w:szCs w:val="24"/>
        </w:rPr>
        <w:t xml:space="preserve"> </w:t>
      </w:r>
      <w:proofErr w:type="spellStart"/>
      <w:r w:rsidR="00EF74DB" w:rsidRPr="00EF74DB">
        <w:rPr>
          <w:rFonts w:ascii="Arial" w:hAnsi="Arial" w:cs="Arial"/>
          <w:sz w:val="24"/>
          <w:szCs w:val="24"/>
        </w:rPr>
        <w:t>firms</w:t>
      </w:r>
      <w:proofErr w:type="spellEnd"/>
      <w:r w:rsidR="00BC40FC">
        <w:rPr>
          <w:rFonts w:ascii="Arial" w:hAnsi="Arial" w:cs="Arial"/>
          <w:sz w:val="24"/>
          <w:szCs w:val="24"/>
        </w:rPr>
        <w:t xml:space="preserve"> </w:t>
      </w:r>
      <w:r w:rsidR="00EF74DB" w:rsidRPr="00EF74DB">
        <w:rPr>
          <w:rFonts w:ascii="Arial" w:hAnsi="Arial" w:cs="Arial"/>
          <w:sz w:val="24"/>
          <w:szCs w:val="24"/>
        </w:rPr>
        <w:t>?</w:t>
      </w:r>
      <w:r w:rsidR="00EF74DB">
        <w:rPr>
          <w:rFonts w:ascii="Arial" w:hAnsi="Arial" w:cs="Arial"/>
          <w:sz w:val="24"/>
          <w:szCs w:val="24"/>
        </w:rPr>
        <w:t xml:space="preserve"> », </w:t>
      </w:r>
      <w:proofErr w:type="spellStart"/>
      <w:r w:rsidR="007714E5" w:rsidRPr="007714E5">
        <w:rPr>
          <w:rFonts w:ascii="Arial" w:hAnsi="Arial" w:cs="Arial"/>
          <w:i/>
          <w:iCs/>
          <w:sz w:val="24"/>
          <w:szCs w:val="24"/>
        </w:rPr>
        <w:t>Tourism</w:t>
      </w:r>
      <w:proofErr w:type="spellEnd"/>
      <w:r w:rsidR="007714E5" w:rsidRPr="007714E5">
        <w:rPr>
          <w:rFonts w:ascii="Arial" w:hAnsi="Arial" w:cs="Arial"/>
          <w:i/>
          <w:iCs/>
          <w:sz w:val="24"/>
          <w:szCs w:val="24"/>
        </w:rPr>
        <w:t xml:space="preserve"> Management</w:t>
      </w:r>
      <w:r w:rsidR="007714E5">
        <w:rPr>
          <w:rFonts w:ascii="Arial" w:hAnsi="Arial" w:cs="Arial"/>
          <w:sz w:val="24"/>
          <w:szCs w:val="24"/>
        </w:rPr>
        <w:t xml:space="preserve">, </w:t>
      </w:r>
      <w:r w:rsidR="00072169">
        <w:rPr>
          <w:rFonts w:ascii="Arial" w:hAnsi="Arial" w:cs="Arial"/>
          <w:sz w:val="24"/>
          <w:szCs w:val="24"/>
        </w:rPr>
        <w:t>Vol.68, pp.66-78</w:t>
      </w:r>
    </w:p>
    <w:sectPr w:rsidR="00B45FFD" w:rsidRPr="00C870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B710" w14:textId="77777777" w:rsidR="007E6DF3" w:rsidRDefault="007E6DF3" w:rsidP="00234088">
      <w:pPr>
        <w:spacing w:after="0" w:line="240" w:lineRule="auto"/>
      </w:pPr>
      <w:r>
        <w:separator/>
      </w:r>
    </w:p>
  </w:endnote>
  <w:endnote w:type="continuationSeparator" w:id="0">
    <w:p w14:paraId="1F472804" w14:textId="77777777" w:rsidR="007E6DF3" w:rsidRDefault="007E6DF3" w:rsidP="0023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27870"/>
      <w:docPartObj>
        <w:docPartGallery w:val="Page Numbers (Bottom of Page)"/>
        <w:docPartUnique/>
      </w:docPartObj>
    </w:sdtPr>
    <w:sdtEndPr/>
    <w:sdtContent>
      <w:p w14:paraId="708E57C1" w14:textId="11C63B43" w:rsidR="005E6BB7" w:rsidRDefault="005E6BB7">
        <w:pPr>
          <w:pStyle w:val="Pieddepage"/>
          <w:jc w:val="right"/>
        </w:pPr>
        <w:r>
          <w:fldChar w:fldCharType="begin"/>
        </w:r>
        <w:r>
          <w:instrText>PAGE   \* MERGEFORMAT</w:instrText>
        </w:r>
        <w:r>
          <w:fldChar w:fldCharType="separate"/>
        </w:r>
        <w:r>
          <w:rPr>
            <w:lang w:val="fr-FR"/>
          </w:rPr>
          <w:t>2</w:t>
        </w:r>
        <w:r>
          <w:fldChar w:fldCharType="end"/>
        </w:r>
      </w:p>
    </w:sdtContent>
  </w:sdt>
  <w:p w14:paraId="2BEE0A8C" w14:textId="77777777" w:rsidR="005E6BB7" w:rsidRDefault="005E6B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31C91" w14:textId="77777777" w:rsidR="007E6DF3" w:rsidRDefault="007E6DF3" w:rsidP="00234088">
      <w:pPr>
        <w:spacing w:after="0" w:line="240" w:lineRule="auto"/>
      </w:pPr>
      <w:r>
        <w:separator/>
      </w:r>
    </w:p>
  </w:footnote>
  <w:footnote w:type="continuationSeparator" w:id="0">
    <w:p w14:paraId="4619C997" w14:textId="77777777" w:rsidR="007E6DF3" w:rsidRDefault="007E6DF3" w:rsidP="00234088">
      <w:pPr>
        <w:spacing w:after="0" w:line="240" w:lineRule="auto"/>
      </w:pPr>
      <w:r>
        <w:continuationSeparator/>
      </w:r>
    </w:p>
  </w:footnote>
  <w:footnote w:id="1">
    <w:p w14:paraId="0995323B" w14:textId="5923B477" w:rsidR="001A7D32" w:rsidRPr="001A7D32" w:rsidRDefault="001A7D32" w:rsidP="001A7D32">
      <w:pPr>
        <w:pStyle w:val="Notedebasdepage"/>
        <w:jc w:val="both"/>
        <w:rPr>
          <w:lang w:val="fr-FR"/>
        </w:rPr>
      </w:pPr>
      <w:r>
        <w:rPr>
          <w:rStyle w:val="Appelnotedebasdep"/>
        </w:rPr>
        <w:footnoteRef/>
      </w:r>
      <w:r w:rsidRPr="001A7D32">
        <w:rPr>
          <w:sz w:val="22"/>
          <w:szCs w:val="22"/>
        </w:rPr>
        <w:t>https://www.capital.fr/entreprises-marches/cette-petite-bombe-cachee-dans-le-pacte-entre-bernard-arnault-et-arnaud-lagardere-1381542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7FBC"/>
    <w:multiLevelType w:val="hybridMultilevel"/>
    <w:tmpl w:val="4AD07B7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D505947"/>
    <w:multiLevelType w:val="hybridMultilevel"/>
    <w:tmpl w:val="5EF2E6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D433DD"/>
    <w:multiLevelType w:val="hybridMultilevel"/>
    <w:tmpl w:val="A908260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2AD57510"/>
    <w:multiLevelType w:val="multilevel"/>
    <w:tmpl w:val="DD28CD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020031D"/>
    <w:multiLevelType w:val="hybridMultilevel"/>
    <w:tmpl w:val="232841FA"/>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3CB53956"/>
    <w:multiLevelType w:val="hybridMultilevel"/>
    <w:tmpl w:val="9F507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A764940"/>
    <w:multiLevelType w:val="hybridMultilevel"/>
    <w:tmpl w:val="CBB0CF4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2C"/>
    <w:rsid w:val="0000146D"/>
    <w:rsid w:val="00001B37"/>
    <w:rsid w:val="00001DE5"/>
    <w:rsid w:val="00001F05"/>
    <w:rsid w:val="00002520"/>
    <w:rsid w:val="00002818"/>
    <w:rsid w:val="00002F60"/>
    <w:rsid w:val="00004262"/>
    <w:rsid w:val="000044FC"/>
    <w:rsid w:val="00004617"/>
    <w:rsid w:val="00004EEB"/>
    <w:rsid w:val="00005E43"/>
    <w:rsid w:val="00006359"/>
    <w:rsid w:val="000065D8"/>
    <w:rsid w:val="00006711"/>
    <w:rsid w:val="00006808"/>
    <w:rsid w:val="00006C2C"/>
    <w:rsid w:val="00007C60"/>
    <w:rsid w:val="00012A53"/>
    <w:rsid w:val="00014174"/>
    <w:rsid w:val="00016B8C"/>
    <w:rsid w:val="00016C42"/>
    <w:rsid w:val="00017554"/>
    <w:rsid w:val="00017E26"/>
    <w:rsid w:val="0002139C"/>
    <w:rsid w:val="00022152"/>
    <w:rsid w:val="00022BDE"/>
    <w:rsid w:val="00022E6D"/>
    <w:rsid w:val="00023A7E"/>
    <w:rsid w:val="00024464"/>
    <w:rsid w:val="00031C4E"/>
    <w:rsid w:val="00034913"/>
    <w:rsid w:val="00035077"/>
    <w:rsid w:val="000370F0"/>
    <w:rsid w:val="00037866"/>
    <w:rsid w:val="00041F5D"/>
    <w:rsid w:val="00042755"/>
    <w:rsid w:val="000439FA"/>
    <w:rsid w:val="00047767"/>
    <w:rsid w:val="00047AA2"/>
    <w:rsid w:val="00050C0E"/>
    <w:rsid w:val="00052947"/>
    <w:rsid w:val="00054079"/>
    <w:rsid w:val="00060718"/>
    <w:rsid w:val="0006157A"/>
    <w:rsid w:val="00061A6D"/>
    <w:rsid w:val="000630A5"/>
    <w:rsid w:val="000673B6"/>
    <w:rsid w:val="00071506"/>
    <w:rsid w:val="00072169"/>
    <w:rsid w:val="00072E72"/>
    <w:rsid w:val="00073BAE"/>
    <w:rsid w:val="00074279"/>
    <w:rsid w:val="0007468D"/>
    <w:rsid w:val="00075C79"/>
    <w:rsid w:val="00075FDA"/>
    <w:rsid w:val="00076BE8"/>
    <w:rsid w:val="000774AA"/>
    <w:rsid w:val="00080DB2"/>
    <w:rsid w:val="00082C57"/>
    <w:rsid w:val="000865A6"/>
    <w:rsid w:val="0009215D"/>
    <w:rsid w:val="000923CB"/>
    <w:rsid w:val="0009327A"/>
    <w:rsid w:val="000957CD"/>
    <w:rsid w:val="00095852"/>
    <w:rsid w:val="000962F9"/>
    <w:rsid w:val="00096E3D"/>
    <w:rsid w:val="000A09C8"/>
    <w:rsid w:val="000A1AFC"/>
    <w:rsid w:val="000A1FEC"/>
    <w:rsid w:val="000A47DB"/>
    <w:rsid w:val="000A4DC0"/>
    <w:rsid w:val="000A5FD9"/>
    <w:rsid w:val="000A6238"/>
    <w:rsid w:val="000A6555"/>
    <w:rsid w:val="000A6DE5"/>
    <w:rsid w:val="000A6ED5"/>
    <w:rsid w:val="000B0EAD"/>
    <w:rsid w:val="000B3665"/>
    <w:rsid w:val="000B6DBD"/>
    <w:rsid w:val="000C0E65"/>
    <w:rsid w:val="000C382B"/>
    <w:rsid w:val="000C5EB9"/>
    <w:rsid w:val="000C6A34"/>
    <w:rsid w:val="000D5088"/>
    <w:rsid w:val="000E34B3"/>
    <w:rsid w:val="000E39A4"/>
    <w:rsid w:val="000E4021"/>
    <w:rsid w:val="000E4C8D"/>
    <w:rsid w:val="000E7D0C"/>
    <w:rsid w:val="000F09BF"/>
    <w:rsid w:val="000F178C"/>
    <w:rsid w:val="000F22A3"/>
    <w:rsid w:val="000F251D"/>
    <w:rsid w:val="000F4A4A"/>
    <w:rsid w:val="000F5D54"/>
    <w:rsid w:val="000F63F0"/>
    <w:rsid w:val="000F768B"/>
    <w:rsid w:val="000F7690"/>
    <w:rsid w:val="00101F8A"/>
    <w:rsid w:val="00102533"/>
    <w:rsid w:val="001047C3"/>
    <w:rsid w:val="0010510B"/>
    <w:rsid w:val="0010711A"/>
    <w:rsid w:val="0010731E"/>
    <w:rsid w:val="00107470"/>
    <w:rsid w:val="00110B8C"/>
    <w:rsid w:val="0011556E"/>
    <w:rsid w:val="001204CF"/>
    <w:rsid w:val="00122BE9"/>
    <w:rsid w:val="00127BB1"/>
    <w:rsid w:val="00127E95"/>
    <w:rsid w:val="00136745"/>
    <w:rsid w:val="00137F29"/>
    <w:rsid w:val="001425F0"/>
    <w:rsid w:val="001433F2"/>
    <w:rsid w:val="001468FA"/>
    <w:rsid w:val="00147EE9"/>
    <w:rsid w:val="00155805"/>
    <w:rsid w:val="00155E2E"/>
    <w:rsid w:val="001566AC"/>
    <w:rsid w:val="00156AD6"/>
    <w:rsid w:val="001575F7"/>
    <w:rsid w:val="0016011F"/>
    <w:rsid w:val="00164791"/>
    <w:rsid w:val="00164D75"/>
    <w:rsid w:val="00166A08"/>
    <w:rsid w:val="00166A55"/>
    <w:rsid w:val="00167784"/>
    <w:rsid w:val="00172ECF"/>
    <w:rsid w:val="00174870"/>
    <w:rsid w:val="00175001"/>
    <w:rsid w:val="00176AC9"/>
    <w:rsid w:val="00177EA6"/>
    <w:rsid w:val="00182AF3"/>
    <w:rsid w:val="00182FFD"/>
    <w:rsid w:val="001852B4"/>
    <w:rsid w:val="001856C6"/>
    <w:rsid w:val="00186308"/>
    <w:rsid w:val="001874EB"/>
    <w:rsid w:val="00190967"/>
    <w:rsid w:val="0019196C"/>
    <w:rsid w:val="00191AAF"/>
    <w:rsid w:val="001932E5"/>
    <w:rsid w:val="00193F70"/>
    <w:rsid w:val="0019404C"/>
    <w:rsid w:val="00194275"/>
    <w:rsid w:val="00194351"/>
    <w:rsid w:val="001944F9"/>
    <w:rsid w:val="0019726D"/>
    <w:rsid w:val="001A2C0E"/>
    <w:rsid w:val="001A2C80"/>
    <w:rsid w:val="001A2C82"/>
    <w:rsid w:val="001A372D"/>
    <w:rsid w:val="001A6226"/>
    <w:rsid w:val="001A6806"/>
    <w:rsid w:val="001A7BA2"/>
    <w:rsid w:val="001A7D32"/>
    <w:rsid w:val="001B0CCE"/>
    <w:rsid w:val="001B19EE"/>
    <w:rsid w:val="001B39E3"/>
    <w:rsid w:val="001B4165"/>
    <w:rsid w:val="001B4346"/>
    <w:rsid w:val="001B4DB3"/>
    <w:rsid w:val="001B6CCE"/>
    <w:rsid w:val="001C0217"/>
    <w:rsid w:val="001C4EA8"/>
    <w:rsid w:val="001C5222"/>
    <w:rsid w:val="001C63CB"/>
    <w:rsid w:val="001C690C"/>
    <w:rsid w:val="001C6967"/>
    <w:rsid w:val="001D0137"/>
    <w:rsid w:val="001D19F0"/>
    <w:rsid w:val="001D23C7"/>
    <w:rsid w:val="001D4157"/>
    <w:rsid w:val="001D467C"/>
    <w:rsid w:val="001D614C"/>
    <w:rsid w:val="001D614F"/>
    <w:rsid w:val="001D7CB4"/>
    <w:rsid w:val="001D7FCC"/>
    <w:rsid w:val="001E0F93"/>
    <w:rsid w:val="001E1928"/>
    <w:rsid w:val="001E25C2"/>
    <w:rsid w:val="001E26CC"/>
    <w:rsid w:val="001E3350"/>
    <w:rsid w:val="001E3849"/>
    <w:rsid w:val="001F0A53"/>
    <w:rsid w:val="001F1361"/>
    <w:rsid w:val="001F318E"/>
    <w:rsid w:val="001F652E"/>
    <w:rsid w:val="001F67A6"/>
    <w:rsid w:val="001F6DB0"/>
    <w:rsid w:val="001F7182"/>
    <w:rsid w:val="0020001A"/>
    <w:rsid w:val="00200042"/>
    <w:rsid w:val="00200BF5"/>
    <w:rsid w:val="00203BED"/>
    <w:rsid w:val="00203C8F"/>
    <w:rsid w:val="00206107"/>
    <w:rsid w:val="00210727"/>
    <w:rsid w:val="002116F8"/>
    <w:rsid w:val="00215DD8"/>
    <w:rsid w:val="002161C2"/>
    <w:rsid w:val="00221AFD"/>
    <w:rsid w:val="002235F6"/>
    <w:rsid w:val="00224912"/>
    <w:rsid w:val="0022571F"/>
    <w:rsid w:val="00225B69"/>
    <w:rsid w:val="00225E5F"/>
    <w:rsid w:val="00230765"/>
    <w:rsid w:val="0023228F"/>
    <w:rsid w:val="00233FCA"/>
    <w:rsid w:val="00234088"/>
    <w:rsid w:val="00234F57"/>
    <w:rsid w:val="00236EEC"/>
    <w:rsid w:val="002403BA"/>
    <w:rsid w:val="00242C12"/>
    <w:rsid w:val="00246635"/>
    <w:rsid w:val="0025118D"/>
    <w:rsid w:val="00252964"/>
    <w:rsid w:val="00252F6C"/>
    <w:rsid w:val="002578BA"/>
    <w:rsid w:val="00257EE7"/>
    <w:rsid w:val="002657C9"/>
    <w:rsid w:val="00266611"/>
    <w:rsid w:val="00266725"/>
    <w:rsid w:val="002675BD"/>
    <w:rsid w:val="00267A13"/>
    <w:rsid w:val="00267DA3"/>
    <w:rsid w:val="00270F16"/>
    <w:rsid w:val="00272DBB"/>
    <w:rsid w:val="002746B1"/>
    <w:rsid w:val="00276067"/>
    <w:rsid w:val="002768BE"/>
    <w:rsid w:val="002778FD"/>
    <w:rsid w:val="00280FEA"/>
    <w:rsid w:val="00281EC9"/>
    <w:rsid w:val="0028230A"/>
    <w:rsid w:val="00283890"/>
    <w:rsid w:val="0028482F"/>
    <w:rsid w:val="00285DFA"/>
    <w:rsid w:val="002860CB"/>
    <w:rsid w:val="002874C0"/>
    <w:rsid w:val="002914CA"/>
    <w:rsid w:val="0029253F"/>
    <w:rsid w:val="002970A9"/>
    <w:rsid w:val="002A214A"/>
    <w:rsid w:val="002A2301"/>
    <w:rsid w:val="002A2BF7"/>
    <w:rsid w:val="002A2C26"/>
    <w:rsid w:val="002A452C"/>
    <w:rsid w:val="002A65E0"/>
    <w:rsid w:val="002A7002"/>
    <w:rsid w:val="002A7492"/>
    <w:rsid w:val="002B0E69"/>
    <w:rsid w:val="002B18C6"/>
    <w:rsid w:val="002B251C"/>
    <w:rsid w:val="002B2A5A"/>
    <w:rsid w:val="002B6506"/>
    <w:rsid w:val="002B688B"/>
    <w:rsid w:val="002C2B75"/>
    <w:rsid w:val="002C31F6"/>
    <w:rsid w:val="002C4278"/>
    <w:rsid w:val="002C5608"/>
    <w:rsid w:val="002C7C01"/>
    <w:rsid w:val="002C7F41"/>
    <w:rsid w:val="002D0540"/>
    <w:rsid w:val="002D09BD"/>
    <w:rsid w:val="002D1024"/>
    <w:rsid w:val="002D2EBC"/>
    <w:rsid w:val="002D655E"/>
    <w:rsid w:val="002E1499"/>
    <w:rsid w:val="002E1520"/>
    <w:rsid w:val="002E164C"/>
    <w:rsid w:val="002E1C86"/>
    <w:rsid w:val="002E275F"/>
    <w:rsid w:val="002E2E15"/>
    <w:rsid w:val="002E3F84"/>
    <w:rsid w:val="002F2AA1"/>
    <w:rsid w:val="002F2AF6"/>
    <w:rsid w:val="002F3033"/>
    <w:rsid w:val="002F657A"/>
    <w:rsid w:val="00300889"/>
    <w:rsid w:val="003014AA"/>
    <w:rsid w:val="003029A9"/>
    <w:rsid w:val="0030324B"/>
    <w:rsid w:val="00304E66"/>
    <w:rsid w:val="00305404"/>
    <w:rsid w:val="003064C7"/>
    <w:rsid w:val="00307614"/>
    <w:rsid w:val="0031125B"/>
    <w:rsid w:val="00315065"/>
    <w:rsid w:val="003241F0"/>
    <w:rsid w:val="00327435"/>
    <w:rsid w:val="003355A5"/>
    <w:rsid w:val="00336243"/>
    <w:rsid w:val="00337A48"/>
    <w:rsid w:val="00342391"/>
    <w:rsid w:val="00342C31"/>
    <w:rsid w:val="00343727"/>
    <w:rsid w:val="00346448"/>
    <w:rsid w:val="003469F1"/>
    <w:rsid w:val="003520E8"/>
    <w:rsid w:val="0035235D"/>
    <w:rsid w:val="00353041"/>
    <w:rsid w:val="0035543A"/>
    <w:rsid w:val="0035566A"/>
    <w:rsid w:val="00355DD2"/>
    <w:rsid w:val="00361AB1"/>
    <w:rsid w:val="00363553"/>
    <w:rsid w:val="00364377"/>
    <w:rsid w:val="00364644"/>
    <w:rsid w:val="0036684A"/>
    <w:rsid w:val="003714DE"/>
    <w:rsid w:val="00371995"/>
    <w:rsid w:val="00372AA7"/>
    <w:rsid w:val="0038014A"/>
    <w:rsid w:val="0038030F"/>
    <w:rsid w:val="0038379F"/>
    <w:rsid w:val="003844EF"/>
    <w:rsid w:val="003852F0"/>
    <w:rsid w:val="00385DFF"/>
    <w:rsid w:val="00386ABB"/>
    <w:rsid w:val="00387DA8"/>
    <w:rsid w:val="00391990"/>
    <w:rsid w:val="0039343D"/>
    <w:rsid w:val="00393AED"/>
    <w:rsid w:val="003944AD"/>
    <w:rsid w:val="003946B5"/>
    <w:rsid w:val="003958B5"/>
    <w:rsid w:val="0039618C"/>
    <w:rsid w:val="00396B06"/>
    <w:rsid w:val="00396F83"/>
    <w:rsid w:val="003A0F38"/>
    <w:rsid w:val="003A1E2C"/>
    <w:rsid w:val="003A311C"/>
    <w:rsid w:val="003A387C"/>
    <w:rsid w:val="003A46B9"/>
    <w:rsid w:val="003A5A03"/>
    <w:rsid w:val="003A6A46"/>
    <w:rsid w:val="003A79DA"/>
    <w:rsid w:val="003B551F"/>
    <w:rsid w:val="003B58DB"/>
    <w:rsid w:val="003B7BA7"/>
    <w:rsid w:val="003B7D3E"/>
    <w:rsid w:val="003C2F80"/>
    <w:rsid w:val="003C396E"/>
    <w:rsid w:val="003C4575"/>
    <w:rsid w:val="003C4C03"/>
    <w:rsid w:val="003C504A"/>
    <w:rsid w:val="003C5ECE"/>
    <w:rsid w:val="003C61A9"/>
    <w:rsid w:val="003C74F1"/>
    <w:rsid w:val="003C7A45"/>
    <w:rsid w:val="003D2D41"/>
    <w:rsid w:val="003D3198"/>
    <w:rsid w:val="003D3306"/>
    <w:rsid w:val="003D4286"/>
    <w:rsid w:val="003D56EF"/>
    <w:rsid w:val="003D77C4"/>
    <w:rsid w:val="003E1163"/>
    <w:rsid w:val="003E2D3A"/>
    <w:rsid w:val="003E33B7"/>
    <w:rsid w:val="003E36CE"/>
    <w:rsid w:val="003E3BC4"/>
    <w:rsid w:val="003E4FEE"/>
    <w:rsid w:val="003E5033"/>
    <w:rsid w:val="003E5BC5"/>
    <w:rsid w:val="003F2019"/>
    <w:rsid w:val="003F3451"/>
    <w:rsid w:val="003F363A"/>
    <w:rsid w:val="003F5BF3"/>
    <w:rsid w:val="003F7A69"/>
    <w:rsid w:val="00403B25"/>
    <w:rsid w:val="00406762"/>
    <w:rsid w:val="00407414"/>
    <w:rsid w:val="00413E7A"/>
    <w:rsid w:val="00414230"/>
    <w:rsid w:val="00416B8B"/>
    <w:rsid w:val="00417290"/>
    <w:rsid w:val="00417F89"/>
    <w:rsid w:val="00421B3A"/>
    <w:rsid w:val="00424342"/>
    <w:rsid w:val="004251EB"/>
    <w:rsid w:val="0042563C"/>
    <w:rsid w:val="004268BE"/>
    <w:rsid w:val="00431025"/>
    <w:rsid w:val="00431BCB"/>
    <w:rsid w:val="00434579"/>
    <w:rsid w:val="0043484F"/>
    <w:rsid w:val="00435B89"/>
    <w:rsid w:val="0044165E"/>
    <w:rsid w:val="004418B3"/>
    <w:rsid w:val="00441CE7"/>
    <w:rsid w:val="00442EF5"/>
    <w:rsid w:val="004430FB"/>
    <w:rsid w:val="00444C19"/>
    <w:rsid w:val="00446E81"/>
    <w:rsid w:val="004470E5"/>
    <w:rsid w:val="00450718"/>
    <w:rsid w:val="0045108C"/>
    <w:rsid w:val="00452D77"/>
    <w:rsid w:val="00456B9B"/>
    <w:rsid w:val="004574F0"/>
    <w:rsid w:val="0046049E"/>
    <w:rsid w:val="00463E58"/>
    <w:rsid w:val="00465A40"/>
    <w:rsid w:val="004663D2"/>
    <w:rsid w:val="00467711"/>
    <w:rsid w:val="00470579"/>
    <w:rsid w:val="00470A2C"/>
    <w:rsid w:val="00475DAD"/>
    <w:rsid w:val="00477168"/>
    <w:rsid w:val="004812C2"/>
    <w:rsid w:val="00481770"/>
    <w:rsid w:val="00481A39"/>
    <w:rsid w:val="00482399"/>
    <w:rsid w:val="00484948"/>
    <w:rsid w:val="004902A0"/>
    <w:rsid w:val="004913E0"/>
    <w:rsid w:val="00493928"/>
    <w:rsid w:val="004945A1"/>
    <w:rsid w:val="00495658"/>
    <w:rsid w:val="004977D9"/>
    <w:rsid w:val="004A0C4B"/>
    <w:rsid w:val="004A0EE1"/>
    <w:rsid w:val="004A2E4C"/>
    <w:rsid w:val="004A35CE"/>
    <w:rsid w:val="004A7115"/>
    <w:rsid w:val="004B04AB"/>
    <w:rsid w:val="004B0E3A"/>
    <w:rsid w:val="004C140E"/>
    <w:rsid w:val="004C1C0D"/>
    <w:rsid w:val="004C25E7"/>
    <w:rsid w:val="004C4346"/>
    <w:rsid w:val="004C4AE2"/>
    <w:rsid w:val="004C62FB"/>
    <w:rsid w:val="004C653D"/>
    <w:rsid w:val="004C6EC2"/>
    <w:rsid w:val="004D0172"/>
    <w:rsid w:val="004D5352"/>
    <w:rsid w:val="004D57C4"/>
    <w:rsid w:val="004D584E"/>
    <w:rsid w:val="004D68BE"/>
    <w:rsid w:val="004D76E8"/>
    <w:rsid w:val="004D7ED1"/>
    <w:rsid w:val="004E434B"/>
    <w:rsid w:val="004E5171"/>
    <w:rsid w:val="004E59A5"/>
    <w:rsid w:val="004F313A"/>
    <w:rsid w:val="004F320C"/>
    <w:rsid w:val="004F45AC"/>
    <w:rsid w:val="004F5426"/>
    <w:rsid w:val="004F56FE"/>
    <w:rsid w:val="004F5FC6"/>
    <w:rsid w:val="004F6139"/>
    <w:rsid w:val="0050005A"/>
    <w:rsid w:val="00500321"/>
    <w:rsid w:val="00501827"/>
    <w:rsid w:val="005019B6"/>
    <w:rsid w:val="005041C3"/>
    <w:rsid w:val="00505A0B"/>
    <w:rsid w:val="00506716"/>
    <w:rsid w:val="00510F7D"/>
    <w:rsid w:val="00511B76"/>
    <w:rsid w:val="00512C8D"/>
    <w:rsid w:val="00513944"/>
    <w:rsid w:val="00513E49"/>
    <w:rsid w:val="0051685C"/>
    <w:rsid w:val="00516991"/>
    <w:rsid w:val="00521651"/>
    <w:rsid w:val="005219C0"/>
    <w:rsid w:val="00524D1E"/>
    <w:rsid w:val="00527D62"/>
    <w:rsid w:val="0053059B"/>
    <w:rsid w:val="0053320F"/>
    <w:rsid w:val="00537CC0"/>
    <w:rsid w:val="0054034C"/>
    <w:rsid w:val="00542E42"/>
    <w:rsid w:val="005435D4"/>
    <w:rsid w:val="005452A3"/>
    <w:rsid w:val="00545B5F"/>
    <w:rsid w:val="00546DD4"/>
    <w:rsid w:val="00551541"/>
    <w:rsid w:val="00552162"/>
    <w:rsid w:val="00552506"/>
    <w:rsid w:val="005543E7"/>
    <w:rsid w:val="0055445F"/>
    <w:rsid w:val="00557D8D"/>
    <w:rsid w:val="00557E10"/>
    <w:rsid w:val="00561A4F"/>
    <w:rsid w:val="005635EA"/>
    <w:rsid w:val="00566599"/>
    <w:rsid w:val="00571A2D"/>
    <w:rsid w:val="00571CA9"/>
    <w:rsid w:val="0057235C"/>
    <w:rsid w:val="005734F0"/>
    <w:rsid w:val="00574CCA"/>
    <w:rsid w:val="0057513E"/>
    <w:rsid w:val="00575983"/>
    <w:rsid w:val="00575AD7"/>
    <w:rsid w:val="00576566"/>
    <w:rsid w:val="00576985"/>
    <w:rsid w:val="00577146"/>
    <w:rsid w:val="0057750A"/>
    <w:rsid w:val="00584992"/>
    <w:rsid w:val="005850BE"/>
    <w:rsid w:val="00590C3A"/>
    <w:rsid w:val="005911AE"/>
    <w:rsid w:val="00592BEE"/>
    <w:rsid w:val="00594005"/>
    <w:rsid w:val="00594EF0"/>
    <w:rsid w:val="005A0832"/>
    <w:rsid w:val="005A117A"/>
    <w:rsid w:val="005A172E"/>
    <w:rsid w:val="005A1C65"/>
    <w:rsid w:val="005A437E"/>
    <w:rsid w:val="005A5F8B"/>
    <w:rsid w:val="005B1AD4"/>
    <w:rsid w:val="005B1EB5"/>
    <w:rsid w:val="005B37C4"/>
    <w:rsid w:val="005B417D"/>
    <w:rsid w:val="005B4953"/>
    <w:rsid w:val="005B5C43"/>
    <w:rsid w:val="005C0C52"/>
    <w:rsid w:val="005C105F"/>
    <w:rsid w:val="005C1350"/>
    <w:rsid w:val="005C2A31"/>
    <w:rsid w:val="005C61C6"/>
    <w:rsid w:val="005C6B6E"/>
    <w:rsid w:val="005C76D6"/>
    <w:rsid w:val="005C793A"/>
    <w:rsid w:val="005D0C4A"/>
    <w:rsid w:val="005D1504"/>
    <w:rsid w:val="005D3E8C"/>
    <w:rsid w:val="005D48BF"/>
    <w:rsid w:val="005D4F2A"/>
    <w:rsid w:val="005D6080"/>
    <w:rsid w:val="005D6CB5"/>
    <w:rsid w:val="005D7894"/>
    <w:rsid w:val="005E0535"/>
    <w:rsid w:val="005E2ED5"/>
    <w:rsid w:val="005E31E7"/>
    <w:rsid w:val="005E3D0D"/>
    <w:rsid w:val="005E4822"/>
    <w:rsid w:val="005E57BF"/>
    <w:rsid w:val="005E6B09"/>
    <w:rsid w:val="005E6BB7"/>
    <w:rsid w:val="005E75C2"/>
    <w:rsid w:val="005F4112"/>
    <w:rsid w:val="005F4826"/>
    <w:rsid w:val="005F52BF"/>
    <w:rsid w:val="005F7B89"/>
    <w:rsid w:val="00602C17"/>
    <w:rsid w:val="006033B6"/>
    <w:rsid w:val="006039BE"/>
    <w:rsid w:val="00603DF4"/>
    <w:rsid w:val="00604061"/>
    <w:rsid w:val="0060455D"/>
    <w:rsid w:val="00605FE5"/>
    <w:rsid w:val="00606DB1"/>
    <w:rsid w:val="006079CB"/>
    <w:rsid w:val="0061097E"/>
    <w:rsid w:val="0061445E"/>
    <w:rsid w:val="0061473B"/>
    <w:rsid w:val="00614C6E"/>
    <w:rsid w:val="00615D6F"/>
    <w:rsid w:val="00617268"/>
    <w:rsid w:val="006215B5"/>
    <w:rsid w:val="00621769"/>
    <w:rsid w:val="00621CF1"/>
    <w:rsid w:val="00623BE8"/>
    <w:rsid w:val="006266AD"/>
    <w:rsid w:val="0063004A"/>
    <w:rsid w:val="00631E9F"/>
    <w:rsid w:val="006320D5"/>
    <w:rsid w:val="00632C3E"/>
    <w:rsid w:val="00634E9E"/>
    <w:rsid w:val="006361F0"/>
    <w:rsid w:val="00636989"/>
    <w:rsid w:val="00641B88"/>
    <w:rsid w:val="00641F23"/>
    <w:rsid w:val="00642295"/>
    <w:rsid w:val="00643DCC"/>
    <w:rsid w:val="00644E0F"/>
    <w:rsid w:val="006522AA"/>
    <w:rsid w:val="00653EC6"/>
    <w:rsid w:val="006557C3"/>
    <w:rsid w:val="00657501"/>
    <w:rsid w:val="00660465"/>
    <w:rsid w:val="00661AE7"/>
    <w:rsid w:val="00662C20"/>
    <w:rsid w:val="00664621"/>
    <w:rsid w:val="0066520D"/>
    <w:rsid w:val="0066758C"/>
    <w:rsid w:val="00670198"/>
    <w:rsid w:val="006705B4"/>
    <w:rsid w:val="00670D00"/>
    <w:rsid w:val="00671B52"/>
    <w:rsid w:val="006720E1"/>
    <w:rsid w:val="00672DC7"/>
    <w:rsid w:val="00673D5D"/>
    <w:rsid w:val="006756F8"/>
    <w:rsid w:val="00675F0A"/>
    <w:rsid w:val="00676F04"/>
    <w:rsid w:val="00677BC8"/>
    <w:rsid w:val="00682693"/>
    <w:rsid w:val="00683D16"/>
    <w:rsid w:val="0068653F"/>
    <w:rsid w:val="00690A15"/>
    <w:rsid w:val="00690D97"/>
    <w:rsid w:val="00692561"/>
    <w:rsid w:val="00692B62"/>
    <w:rsid w:val="00692F2F"/>
    <w:rsid w:val="006933A6"/>
    <w:rsid w:val="00694A53"/>
    <w:rsid w:val="00694AAC"/>
    <w:rsid w:val="006A1521"/>
    <w:rsid w:val="006A26BC"/>
    <w:rsid w:val="006A2783"/>
    <w:rsid w:val="006A2C6B"/>
    <w:rsid w:val="006A63CC"/>
    <w:rsid w:val="006A6785"/>
    <w:rsid w:val="006A6BEB"/>
    <w:rsid w:val="006B1B0B"/>
    <w:rsid w:val="006B399E"/>
    <w:rsid w:val="006B4601"/>
    <w:rsid w:val="006B7844"/>
    <w:rsid w:val="006C12C0"/>
    <w:rsid w:val="006C1908"/>
    <w:rsid w:val="006C1F96"/>
    <w:rsid w:val="006C2F1E"/>
    <w:rsid w:val="006C3826"/>
    <w:rsid w:val="006C3B80"/>
    <w:rsid w:val="006C5225"/>
    <w:rsid w:val="006D1211"/>
    <w:rsid w:val="006D1E3B"/>
    <w:rsid w:val="006D2578"/>
    <w:rsid w:val="006D28EC"/>
    <w:rsid w:val="006D5A6E"/>
    <w:rsid w:val="006D6A33"/>
    <w:rsid w:val="006E0271"/>
    <w:rsid w:val="006E0AED"/>
    <w:rsid w:val="006E16DD"/>
    <w:rsid w:val="006E216B"/>
    <w:rsid w:val="006E2323"/>
    <w:rsid w:val="006E2F77"/>
    <w:rsid w:val="006E3A2F"/>
    <w:rsid w:val="006E4FF9"/>
    <w:rsid w:val="006E521E"/>
    <w:rsid w:val="006E77EA"/>
    <w:rsid w:val="006F1507"/>
    <w:rsid w:val="006F271E"/>
    <w:rsid w:val="006F2768"/>
    <w:rsid w:val="006F3580"/>
    <w:rsid w:val="006F66F8"/>
    <w:rsid w:val="007019A7"/>
    <w:rsid w:val="00702873"/>
    <w:rsid w:val="00703616"/>
    <w:rsid w:val="00704486"/>
    <w:rsid w:val="007140E7"/>
    <w:rsid w:val="00714C2C"/>
    <w:rsid w:val="007162B3"/>
    <w:rsid w:val="00720A8E"/>
    <w:rsid w:val="00721BBB"/>
    <w:rsid w:val="00722207"/>
    <w:rsid w:val="007259BC"/>
    <w:rsid w:val="00730589"/>
    <w:rsid w:val="007312C5"/>
    <w:rsid w:val="007314B3"/>
    <w:rsid w:val="0073268D"/>
    <w:rsid w:val="00733558"/>
    <w:rsid w:val="007344DE"/>
    <w:rsid w:val="00737AA4"/>
    <w:rsid w:val="007408AE"/>
    <w:rsid w:val="00740D3C"/>
    <w:rsid w:val="007414E4"/>
    <w:rsid w:val="00741A5B"/>
    <w:rsid w:val="00744F5D"/>
    <w:rsid w:val="0074734A"/>
    <w:rsid w:val="00751429"/>
    <w:rsid w:val="007522A3"/>
    <w:rsid w:val="00753250"/>
    <w:rsid w:val="007560C3"/>
    <w:rsid w:val="00756B0F"/>
    <w:rsid w:val="00760347"/>
    <w:rsid w:val="00760B06"/>
    <w:rsid w:val="00762FFB"/>
    <w:rsid w:val="007637E1"/>
    <w:rsid w:val="007679F5"/>
    <w:rsid w:val="007707AA"/>
    <w:rsid w:val="007714E5"/>
    <w:rsid w:val="00773CA9"/>
    <w:rsid w:val="007763EF"/>
    <w:rsid w:val="007772E1"/>
    <w:rsid w:val="00781A87"/>
    <w:rsid w:val="00781AEE"/>
    <w:rsid w:val="0078223A"/>
    <w:rsid w:val="00787BE8"/>
    <w:rsid w:val="00791655"/>
    <w:rsid w:val="00792125"/>
    <w:rsid w:val="007A0607"/>
    <w:rsid w:val="007A0964"/>
    <w:rsid w:val="007A1B3D"/>
    <w:rsid w:val="007A20EA"/>
    <w:rsid w:val="007A2C72"/>
    <w:rsid w:val="007A69A6"/>
    <w:rsid w:val="007A7706"/>
    <w:rsid w:val="007B1A30"/>
    <w:rsid w:val="007B3AD7"/>
    <w:rsid w:val="007C1486"/>
    <w:rsid w:val="007C3E8B"/>
    <w:rsid w:val="007C4B79"/>
    <w:rsid w:val="007C4BBA"/>
    <w:rsid w:val="007C4CA1"/>
    <w:rsid w:val="007C5789"/>
    <w:rsid w:val="007D296F"/>
    <w:rsid w:val="007D32F4"/>
    <w:rsid w:val="007D3E27"/>
    <w:rsid w:val="007E0B82"/>
    <w:rsid w:val="007E1D44"/>
    <w:rsid w:val="007E1DB1"/>
    <w:rsid w:val="007E3FDB"/>
    <w:rsid w:val="007E51A0"/>
    <w:rsid w:val="007E58A1"/>
    <w:rsid w:val="007E6DF3"/>
    <w:rsid w:val="007E6FEE"/>
    <w:rsid w:val="007E7120"/>
    <w:rsid w:val="007E7F06"/>
    <w:rsid w:val="007F2CF8"/>
    <w:rsid w:val="007F323F"/>
    <w:rsid w:val="007F4887"/>
    <w:rsid w:val="007F54CA"/>
    <w:rsid w:val="007F5CBD"/>
    <w:rsid w:val="007F70E0"/>
    <w:rsid w:val="007F7636"/>
    <w:rsid w:val="007F78CE"/>
    <w:rsid w:val="00801082"/>
    <w:rsid w:val="00801AEA"/>
    <w:rsid w:val="008028FD"/>
    <w:rsid w:val="00802B7C"/>
    <w:rsid w:val="00804E0E"/>
    <w:rsid w:val="00810552"/>
    <w:rsid w:val="00812E07"/>
    <w:rsid w:val="00814066"/>
    <w:rsid w:val="00814202"/>
    <w:rsid w:val="00814F86"/>
    <w:rsid w:val="00815E2D"/>
    <w:rsid w:val="0081707A"/>
    <w:rsid w:val="00817E20"/>
    <w:rsid w:val="00820E46"/>
    <w:rsid w:val="00820F2B"/>
    <w:rsid w:val="008227C3"/>
    <w:rsid w:val="0083056E"/>
    <w:rsid w:val="0083346C"/>
    <w:rsid w:val="00834AD4"/>
    <w:rsid w:val="00834D6B"/>
    <w:rsid w:val="00835492"/>
    <w:rsid w:val="00835A65"/>
    <w:rsid w:val="00841597"/>
    <w:rsid w:val="00844549"/>
    <w:rsid w:val="008462F4"/>
    <w:rsid w:val="00846C3A"/>
    <w:rsid w:val="00847664"/>
    <w:rsid w:val="0084768C"/>
    <w:rsid w:val="008505E1"/>
    <w:rsid w:val="00850BB6"/>
    <w:rsid w:val="008529DF"/>
    <w:rsid w:val="0085328A"/>
    <w:rsid w:val="00853404"/>
    <w:rsid w:val="00853C07"/>
    <w:rsid w:val="008546E4"/>
    <w:rsid w:val="008568FF"/>
    <w:rsid w:val="00864DF7"/>
    <w:rsid w:val="00865AE5"/>
    <w:rsid w:val="008679D5"/>
    <w:rsid w:val="00873245"/>
    <w:rsid w:val="0087347B"/>
    <w:rsid w:val="00874D2A"/>
    <w:rsid w:val="00875926"/>
    <w:rsid w:val="00877834"/>
    <w:rsid w:val="008824E6"/>
    <w:rsid w:val="00885445"/>
    <w:rsid w:val="008868FE"/>
    <w:rsid w:val="00887A73"/>
    <w:rsid w:val="00891D3E"/>
    <w:rsid w:val="00893770"/>
    <w:rsid w:val="008947AF"/>
    <w:rsid w:val="008A192F"/>
    <w:rsid w:val="008A1CE7"/>
    <w:rsid w:val="008A2B80"/>
    <w:rsid w:val="008A65F1"/>
    <w:rsid w:val="008B0511"/>
    <w:rsid w:val="008B23D2"/>
    <w:rsid w:val="008B2FD2"/>
    <w:rsid w:val="008B552B"/>
    <w:rsid w:val="008B6069"/>
    <w:rsid w:val="008B6FE7"/>
    <w:rsid w:val="008C133D"/>
    <w:rsid w:val="008C13CF"/>
    <w:rsid w:val="008C723C"/>
    <w:rsid w:val="008C76DF"/>
    <w:rsid w:val="008D08D1"/>
    <w:rsid w:val="008D1B13"/>
    <w:rsid w:val="008D1E85"/>
    <w:rsid w:val="008D562A"/>
    <w:rsid w:val="008D6A6F"/>
    <w:rsid w:val="008E4D1D"/>
    <w:rsid w:val="008F0190"/>
    <w:rsid w:val="008F159C"/>
    <w:rsid w:val="008F1DF8"/>
    <w:rsid w:val="008F2E72"/>
    <w:rsid w:val="008F3306"/>
    <w:rsid w:val="008F3771"/>
    <w:rsid w:val="008F4C69"/>
    <w:rsid w:val="008F5D02"/>
    <w:rsid w:val="00902F10"/>
    <w:rsid w:val="00904C68"/>
    <w:rsid w:val="0090711E"/>
    <w:rsid w:val="009072D3"/>
    <w:rsid w:val="009076EF"/>
    <w:rsid w:val="00907EAD"/>
    <w:rsid w:val="009109B4"/>
    <w:rsid w:val="009111C9"/>
    <w:rsid w:val="00915611"/>
    <w:rsid w:val="009164A7"/>
    <w:rsid w:val="009178BD"/>
    <w:rsid w:val="00922BB0"/>
    <w:rsid w:val="0092391F"/>
    <w:rsid w:val="009260FD"/>
    <w:rsid w:val="009307A0"/>
    <w:rsid w:val="0093282C"/>
    <w:rsid w:val="00933FE5"/>
    <w:rsid w:val="009353F3"/>
    <w:rsid w:val="00935F10"/>
    <w:rsid w:val="0093611C"/>
    <w:rsid w:val="00937AA3"/>
    <w:rsid w:val="0094124E"/>
    <w:rsid w:val="0094254F"/>
    <w:rsid w:val="00942FA2"/>
    <w:rsid w:val="00950C0E"/>
    <w:rsid w:val="009520C4"/>
    <w:rsid w:val="00952B65"/>
    <w:rsid w:val="0095333A"/>
    <w:rsid w:val="00953A8C"/>
    <w:rsid w:val="009548A6"/>
    <w:rsid w:val="00955332"/>
    <w:rsid w:val="00955AC3"/>
    <w:rsid w:val="00957C1D"/>
    <w:rsid w:val="009607E1"/>
    <w:rsid w:val="0096128F"/>
    <w:rsid w:val="00966BBF"/>
    <w:rsid w:val="00970492"/>
    <w:rsid w:val="00970A5B"/>
    <w:rsid w:val="00971E28"/>
    <w:rsid w:val="0097222C"/>
    <w:rsid w:val="0097259A"/>
    <w:rsid w:val="00972D6D"/>
    <w:rsid w:val="00975326"/>
    <w:rsid w:val="00975EAA"/>
    <w:rsid w:val="00976087"/>
    <w:rsid w:val="0097703F"/>
    <w:rsid w:val="009770A9"/>
    <w:rsid w:val="009836AC"/>
    <w:rsid w:val="0098406C"/>
    <w:rsid w:val="00985995"/>
    <w:rsid w:val="00986CE8"/>
    <w:rsid w:val="00991423"/>
    <w:rsid w:val="009918CC"/>
    <w:rsid w:val="00991ADB"/>
    <w:rsid w:val="00991FBA"/>
    <w:rsid w:val="009935E6"/>
    <w:rsid w:val="00993B0F"/>
    <w:rsid w:val="00993FA9"/>
    <w:rsid w:val="00994113"/>
    <w:rsid w:val="00994A4E"/>
    <w:rsid w:val="00995586"/>
    <w:rsid w:val="0099573F"/>
    <w:rsid w:val="0099793B"/>
    <w:rsid w:val="009A1760"/>
    <w:rsid w:val="009A2825"/>
    <w:rsid w:val="009A4882"/>
    <w:rsid w:val="009A588C"/>
    <w:rsid w:val="009A5D45"/>
    <w:rsid w:val="009A7371"/>
    <w:rsid w:val="009A7B47"/>
    <w:rsid w:val="009B26CB"/>
    <w:rsid w:val="009B2930"/>
    <w:rsid w:val="009B4137"/>
    <w:rsid w:val="009B49D4"/>
    <w:rsid w:val="009B5304"/>
    <w:rsid w:val="009B6401"/>
    <w:rsid w:val="009B709B"/>
    <w:rsid w:val="009C107C"/>
    <w:rsid w:val="009C16AC"/>
    <w:rsid w:val="009C16CA"/>
    <w:rsid w:val="009C41CB"/>
    <w:rsid w:val="009C5C25"/>
    <w:rsid w:val="009C671A"/>
    <w:rsid w:val="009C6E3A"/>
    <w:rsid w:val="009C7A79"/>
    <w:rsid w:val="009D061D"/>
    <w:rsid w:val="009D1544"/>
    <w:rsid w:val="009D2E7B"/>
    <w:rsid w:val="009D2EB5"/>
    <w:rsid w:val="009D49C3"/>
    <w:rsid w:val="009D5579"/>
    <w:rsid w:val="009E27C7"/>
    <w:rsid w:val="009F001F"/>
    <w:rsid w:val="009F01FD"/>
    <w:rsid w:val="009F0A5D"/>
    <w:rsid w:val="009F0BD1"/>
    <w:rsid w:val="009F32FA"/>
    <w:rsid w:val="009F4B6A"/>
    <w:rsid w:val="009F5E3C"/>
    <w:rsid w:val="009F6444"/>
    <w:rsid w:val="00A003E9"/>
    <w:rsid w:val="00A00A8A"/>
    <w:rsid w:val="00A01DD9"/>
    <w:rsid w:val="00A03767"/>
    <w:rsid w:val="00A052EB"/>
    <w:rsid w:val="00A10FE3"/>
    <w:rsid w:val="00A16179"/>
    <w:rsid w:val="00A16735"/>
    <w:rsid w:val="00A172ED"/>
    <w:rsid w:val="00A2154A"/>
    <w:rsid w:val="00A31DC2"/>
    <w:rsid w:val="00A35DBB"/>
    <w:rsid w:val="00A36835"/>
    <w:rsid w:val="00A36F93"/>
    <w:rsid w:val="00A370FD"/>
    <w:rsid w:val="00A37EAD"/>
    <w:rsid w:val="00A41CC0"/>
    <w:rsid w:val="00A45363"/>
    <w:rsid w:val="00A505BB"/>
    <w:rsid w:val="00A50EC9"/>
    <w:rsid w:val="00A52DDA"/>
    <w:rsid w:val="00A53ED3"/>
    <w:rsid w:val="00A5563E"/>
    <w:rsid w:val="00A559AC"/>
    <w:rsid w:val="00A56413"/>
    <w:rsid w:val="00A60B40"/>
    <w:rsid w:val="00A67899"/>
    <w:rsid w:val="00A7073D"/>
    <w:rsid w:val="00A75B4A"/>
    <w:rsid w:val="00A75CD8"/>
    <w:rsid w:val="00A81D88"/>
    <w:rsid w:val="00A82A33"/>
    <w:rsid w:val="00A86F13"/>
    <w:rsid w:val="00A8723D"/>
    <w:rsid w:val="00A93645"/>
    <w:rsid w:val="00A93D27"/>
    <w:rsid w:val="00A94456"/>
    <w:rsid w:val="00A9574C"/>
    <w:rsid w:val="00A964D5"/>
    <w:rsid w:val="00A9650F"/>
    <w:rsid w:val="00AA07AF"/>
    <w:rsid w:val="00AA15A1"/>
    <w:rsid w:val="00AA2103"/>
    <w:rsid w:val="00AA2C41"/>
    <w:rsid w:val="00AA3965"/>
    <w:rsid w:val="00AA537D"/>
    <w:rsid w:val="00AA648A"/>
    <w:rsid w:val="00AA64D2"/>
    <w:rsid w:val="00AA7AFC"/>
    <w:rsid w:val="00AA7B7D"/>
    <w:rsid w:val="00AB09C2"/>
    <w:rsid w:val="00AB17D3"/>
    <w:rsid w:val="00AB36A2"/>
    <w:rsid w:val="00AB7E5F"/>
    <w:rsid w:val="00AC2A1B"/>
    <w:rsid w:val="00AC4733"/>
    <w:rsid w:val="00AC5035"/>
    <w:rsid w:val="00AC521F"/>
    <w:rsid w:val="00AC5764"/>
    <w:rsid w:val="00AC756C"/>
    <w:rsid w:val="00AC7EBA"/>
    <w:rsid w:val="00AD3447"/>
    <w:rsid w:val="00AD4AD1"/>
    <w:rsid w:val="00AD5B5E"/>
    <w:rsid w:val="00AD707E"/>
    <w:rsid w:val="00AD76A3"/>
    <w:rsid w:val="00AD7A32"/>
    <w:rsid w:val="00AE2BC1"/>
    <w:rsid w:val="00AE2E72"/>
    <w:rsid w:val="00AE4192"/>
    <w:rsid w:val="00AE47D6"/>
    <w:rsid w:val="00AE6368"/>
    <w:rsid w:val="00AE6915"/>
    <w:rsid w:val="00AE7210"/>
    <w:rsid w:val="00AE7569"/>
    <w:rsid w:val="00AF4CB8"/>
    <w:rsid w:val="00AF5E06"/>
    <w:rsid w:val="00AF657E"/>
    <w:rsid w:val="00AF7F00"/>
    <w:rsid w:val="00B03CB6"/>
    <w:rsid w:val="00B0596C"/>
    <w:rsid w:val="00B06B15"/>
    <w:rsid w:val="00B10942"/>
    <w:rsid w:val="00B11640"/>
    <w:rsid w:val="00B12A01"/>
    <w:rsid w:val="00B1349F"/>
    <w:rsid w:val="00B135D8"/>
    <w:rsid w:val="00B13995"/>
    <w:rsid w:val="00B15955"/>
    <w:rsid w:val="00B16726"/>
    <w:rsid w:val="00B16FBD"/>
    <w:rsid w:val="00B2041F"/>
    <w:rsid w:val="00B21449"/>
    <w:rsid w:val="00B22245"/>
    <w:rsid w:val="00B22507"/>
    <w:rsid w:val="00B22DFE"/>
    <w:rsid w:val="00B233F6"/>
    <w:rsid w:val="00B23410"/>
    <w:rsid w:val="00B234CB"/>
    <w:rsid w:val="00B2438D"/>
    <w:rsid w:val="00B24646"/>
    <w:rsid w:val="00B25A0C"/>
    <w:rsid w:val="00B26835"/>
    <w:rsid w:val="00B26DF5"/>
    <w:rsid w:val="00B30880"/>
    <w:rsid w:val="00B30990"/>
    <w:rsid w:val="00B31E06"/>
    <w:rsid w:val="00B33E99"/>
    <w:rsid w:val="00B418FB"/>
    <w:rsid w:val="00B4414D"/>
    <w:rsid w:val="00B445E9"/>
    <w:rsid w:val="00B4598D"/>
    <w:rsid w:val="00B45FB1"/>
    <w:rsid w:val="00B45FFD"/>
    <w:rsid w:val="00B464CA"/>
    <w:rsid w:val="00B47320"/>
    <w:rsid w:val="00B52499"/>
    <w:rsid w:val="00B524D4"/>
    <w:rsid w:val="00B53723"/>
    <w:rsid w:val="00B53C5C"/>
    <w:rsid w:val="00B54655"/>
    <w:rsid w:val="00B553FA"/>
    <w:rsid w:val="00B555E2"/>
    <w:rsid w:val="00B558B8"/>
    <w:rsid w:val="00B61C77"/>
    <w:rsid w:val="00B62660"/>
    <w:rsid w:val="00B634FE"/>
    <w:rsid w:val="00B65211"/>
    <w:rsid w:val="00B66410"/>
    <w:rsid w:val="00B67287"/>
    <w:rsid w:val="00B67CC2"/>
    <w:rsid w:val="00B70597"/>
    <w:rsid w:val="00B7403A"/>
    <w:rsid w:val="00B75C6C"/>
    <w:rsid w:val="00B77419"/>
    <w:rsid w:val="00B77883"/>
    <w:rsid w:val="00B8071B"/>
    <w:rsid w:val="00B81545"/>
    <w:rsid w:val="00B816BF"/>
    <w:rsid w:val="00B81EB3"/>
    <w:rsid w:val="00B842C9"/>
    <w:rsid w:val="00B84591"/>
    <w:rsid w:val="00B84DE1"/>
    <w:rsid w:val="00B8683C"/>
    <w:rsid w:val="00B90149"/>
    <w:rsid w:val="00B90CEC"/>
    <w:rsid w:val="00B94D32"/>
    <w:rsid w:val="00B95CBA"/>
    <w:rsid w:val="00B95CC0"/>
    <w:rsid w:val="00B9716D"/>
    <w:rsid w:val="00B97B44"/>
    <w:rsid w:val="00BA595B"/>
    <w:rsid w:val="00BA69C1"/>
    <w:rsid w:val="00BA704E"/>
    <w:rsid w:val="00BB0A22"/>
    <w:rsid w:val="00BB29D2"/>
    <w:rsid w:val="00BB2BD0"/>
    <w:rsid w:val="00BB3F05"/>
    <w:rsid w:val="00BB55FD"/>
    <w:rsid w:val="00BB625B"/>
    <w:rsid w:val="00BB6E8F"/>
    <w:rsid w:val="00BB7384"/>
    <w:rsid w:val="00BC40FC"/>
    <w:rsid w:val="00BC5476"/>
    <w:rsid w:val="00BC585E"/>
    <w:rsid w:val="00BC58C5"/>
    <w:rsid w:val="00BC5CEB"/>
    <w:rsid w:val="00BD065D"/>
    <w:rsid w:val="00BD1649"/>
    <w:rsid w:val="00BD353A"/>
    <w:rsid w:val="00BD55BA"/>
    <w:rsid w:val="00BD5D4D"/>
    <w:rsid w:val="00BD6CCB"/>
    <w:rsid w:val="00BD6E0F"/>
    <w:rsid w:val="00BD782B"/>
    <w:rsid w:val="00BE03A4"/>
    <w:rsid w:val="00BE4AF4"/>
    <w:rsid w:val="00BF12DC"/>
    <w:rsid w:val="00BF178D"/>
    <w:rsid w:val="00BF1E03"/>
    <w:rsid w:val="00C02EB4"/>
    <w:rsid w:val="00C04330"/>
    <w:rsid w:val="00C053C6"/>
    <w:rsid w:val="00C05A93"/>
    <w:rsid w:val="00C05DCE"/>
    <w:rsid w:val="00C07C20"/>
    <w:rsid w:val="00C10E92"/>
    <w:rsid w:val="00C12A25"/>
    <w:rsid w:val="00C14B5D"/>
    <w:rsid w:val="00C2005B"/>
    <w:rsid w:val="00C20206"/>
    <w:rsid w:val="00C20600"/>
    <w:rsid w:val="00C20A98"/>
    <w:rsid w:val="00C21C66"/>
    <w:rsid w:val="00C24404"/>
    <w:rsid w:val="00C25480"/>
    <w:rsid w:val="00C26F50"/>
    <w:rsid w:val="00C272E3"/>
    <w:rsid w:val="00C30D40"/>
    <w:rsid w:val="00C321E6"/>
    <w:rsid w:val="00C32484"/>
    <w:rsid w:val="00C3444C"/>
    <w:rsid w:val="00C3455B"/>
    <w:rsid w:val="00C3491B"/>
    <w:rsid w:val="00C34E8C"/>
    <w:rsid w:val="00C35BA9"/>
    <w:rsid w:val="00C40242"/>
    <w:rsid w:val="00C417DD"/>
    <w:rsid w:val="00C5075D"/>
    <w:rsid w:val="00C5228B"/>
    <w:rsid w:val="00C52EEB"/>
    <w:rsid w:val="00C547D9"/>
    <w:rsid w:val="00C56BD9"/>
    <w:rsid w:val="00C62EB4"/>
    <w:rsid w:val="00C66B37"/>
    <w:rsid w:val="00C71BCF"/>
    <w:rsid w:val="00C71BE5"/>
    <w:rsid w:val="00C71C60"/>
    <w:rsid w:val="00C73007"/>
    <w:rsid w:val="00C74ABA"/>
    <w:rsid w:val="00C7702A"/>
    <w:rsid w:val="00C8073A"/>
    <w:rsid w:val="00C80EA0"/>
    <w:rsid w:val="00C8155B"/>
    <w:rsid w:val="00C83A03"/>
    <w:rsid w:val="00C86B52"/>
    <w:rsid w:val="00C8708A"/>
    <w:rsid w:val="00C90662"/>
    <w:rsid w:val="00C947EA"/>
    <w:rsid w:val="00C958B3"/>
    <w:rsid w:val="00C959BF"/>
    <w:rsid w:val="00C9766F"/>
    <w:rsid w:val="00CA0ACA"/>
    <w:rsid w:val="00CA2E38"/>
    <w:rsid w:val="00CA4E2C"/>
    <w:rsid w:val="00CA561A"/>
    <w:rsid w:val="00CA56E5"/>
    <w:rsid w:val="00CA5999"/>
    <w:rsid w:val="00CA6670"/>
    <w:rsid w:val="00CA7DC4"/>
    <w:rsid w:val="00CB0992"/>
    <w:rsid w:val="00CB3167"/>
    <w:rsid w:val="00CB4CAC"/>
    <w:rsid w:val="00CB52CC"/>
    <w:rsid w:val="00CB5D7C"/>
    <w:rsid w:val="00CB690C"/>
    <w:rsid w:val="00CB6D66"/>
    <w:rsid w:val="00CB7CB9"/>
    <w:rsid w:val="00CC11E9"/>
    <w:rsid w:val="00CC1AA6"/>
    <w:rsid w:val="00CC3B84"/>
    <w:rsid w:val="00CC6FAC"/>
    <w:rsid w:val="00CC74A6"/>
    <w:rsid w:val="00CC766B"/>
    <w:rsid w:val="00CD064E"/>
    <w:rsid w:val="00CD107F"/>
    <w:rsid w:val="00CD1D57"/>
    <w:rsid w:val="00CD28EA"/>
    <w:rsid w:val="00CD5122"/>
    <w:rsid w:val="00CE0100"/>
    <w:rsid w:val="00CE0709"/>
    <w:rsid w:val="00CE0F3C"/>
    <w:rsid w:val="00CE12A9"/>
    <w:rsid w:val="00CE1789"/>
    <w:rsid w:val="00CE30E3"/>
    <w:rsid w:val="00CE4FA3"/>
    <w:rsid w:val="00CE5328"/>
    <w:rsid w:val="00CF1164"/>
    <w:rsid w:val="00CF403A"/>
    <w:rsid w:val="00CF6416"/>
    <w:rsid w:val="00CF654D"/>
    <w:rsid w:val="00CF6619"/>
    <w:rsid w:val="00D01AA0"/>
    <w:rsid w:val="00D04076"/>
    <w:rsid w:val="00D04396"/>
    <w:rsid w:val="00D064F2"/>
    <w:rsid w:val="00D11B4E"/>
    <w:rsid w:val="00D11C10"/>
    <w:rsid w:val="00D13C69"/>
    <w:rsid w:val="00D14968"/>
    <w:rsid w:val="00D15DEB"/>
    <w:rsid w:val="00D2039D"/>
    <w:rsid w:val="00D2241A"/>
    <w:rsid w:val="00D23DAB"/>
    <w:rsid w:val="00D26138"/>
    <w:rsid w:val="00D26DB0"/>
    <w:rsid w:val="00D34C06"/>
    <w:rsid w:val="00D36320"/>
    <w:rsid w:val="00D37AEB"/>
    <w:rsid w:val="00D4059E"/>
    <w:rsid w:val="00D40DAC"/>
    <w:rsid w:val="00D42244"/>
    <w:rsid w:val="00D43418"/>
    <w:rsid w:val="00D4407D"/>
    <w:rsid w:val="00D45826"/>
    <w:rsid w:val="00D4684A"/>
    <w:rsid w:val="00D4762B"/>
    <w:rsid w:val="00D557F3"/>
    <w:rsid w:val="00D56FD0"/>
    <w:rsid w:val="00D60F66"/>
    <w:rsid w:val="00D6160A"/>
    <w:rsid w:val="00D620FB"/>
    <w:rsid w:val="00D63A9C"/>
    <w:rsid w:val="00D6459F"/>
    <w:rsid w:val="00D648E2"/>
    <w:rsid w:val="00D64A6D"/>
    <w:rsid w:val="00D65EA7"/>
    <w:rsid w:val="00D66298"/>
    <w:rsid w:val="00D6739C"/>
    <w:rsid w:val="00D67AEF"/>
    <w:rsid w:val="00D67BD8"/>
    <w:rsid w:val="00D7433E"/>
    <w:rsid w:val="00D76BED"/>
    <w:rsid w:val="00D77A6B"/>
    <w:rsid w:val="00D77F83"/>
    <w:rsid w:val="00D815BF"/>
    <w:rsid w:val="00D826C8"/>
    <w:rsid w:val="00D8418F"/>
    <w:rsid w:val="00D855E5"/>
    <w:rsid w:val="00D862AC"/>
    <w:rsid w:val="00D90FCC"/>
    <w:rsid w:val="00D9102E"/>
    <w:rsid w:val="00D9464D"/>
    <w:rsid w:val="00D958D1"/>
    <w:rsid w:val="00D95A8D"/>
    <w:rsid w:val="00DA11DA"/>
    <w:rsid w:val="00DA1E73"/>
    <w:rsid w:val="00DA258B"/>
    <w:rsid w:val="00DA4B11"/>
    <w:rsid w:val="00DA7260"/>
    <w:rsid w:val="00DA7703"/>
    <w:rsid w:val="00DB03EE"/>
    <w:rsid w:val="00DB2C40"/>
    <w:rsid w:val="00DB3AB2"/>
    <w:rsid w:val="00DB7B75"/>
    <w:rsid w:val="00DC0E82"/>
    <w:rsid w:val="00DC10C2"/>
    <w:rsid w:val="00DC1878"/>
    <w:rsid w:val="00DC2C51"/>
    <w:rsid w:val="00DC60D6"/>
    <w:rsid w:val="00DC73A5"/>
    <w:rsid w:val="00DD0418"/>
    <w:rsid w:val="00DD39D0"/>
    <w:rsid w:val="00DD40E4"/>
    <w:rsid w:val="00DD42D1"/>
    <w:rsid w:val="00DD506D"/>
    <w:rsid w:val="00DD5DA9"/>
    <w:rsid w:val="00DD7601"/>
    <w:rsid w:val="00DD78FD"/>
    <w:rsid w:val="00DD7BBF"/>
    <w:rsid w:val="00DE0C18"/>
    <w:rsid w:val="00DE1A4B"/>
    <w:rsid w:val="00DE2EE0"/>
    <w:rsid w:val="00DE4CB9"/>
    <w:rsid w:val="00DE5188"/>
    <w:rsid w:val="00DF3C85"/>
    <w:rsid w:val="00DF427D"/>
    <w:rsid w:val="00DF4601"/>
    <w:rsid w:val="00DF7D22"/>
    <w:rsid w:val="00E00658"/>
    <w:rsid w:val="00E00D18"/>
    <w:rsid w:val="00E02877"/>
    <w:rsid w:val="00E050F6"/>
    <w:rsid w:val="00E0580C"/>
    <w:rsid w:val="00E107FD"/>
    <w:rsid w:val="00E10875"/>
    <w:rsid w:val="00E12365"/>
    <w:rsid w:val="00E137F6"/>
    <w:rsid w:val="00E13C55"/>
    <w:rsid w:val="00E14C48"/>
    <w:rsid w:val="00E21264"/>
    <w:rsid w:val="00E220AE"/>
    <w:rsid w:val="00E2417A"/>
    <w:rsid w:val="00E246F6"/>
    <w:rsid w:val="00E2533F"/>
    <w:rsid w:val="00E2617E"/>
    <w:rsid w:val="00E2646E"/>
    <w:rsid w:val="00E26654"/>
    <w:rsid w:val="00E26D46"/>
    <w:rsid w:val="00E277BF"/>
    <w:rsid w:val="00E3183A"/>
    <w:rsid w:val="00E3316C"/>
    <w:rsid w:val="00E342B3"/>
    <w:rsid w:val="00E35C92"/>
    <w:rsid w:val="00E364F5"/>
    <w:rsid w:val="00E36755"/>
    <w:rsid w:val="00E376C2"/>
    <w:rsid w:val="00E40230"/>
    <w:rsid w:val="00E40A44"/>
    <w:rsid w:val="00E40EE4"/>
    <w:rsid w:val="00E417D0"/>
    <w:rsid w:val="00E42E8C"/>
    <w:rsid w:val="00E4593B"/>
    <w:rsid w:val="00E50CA1"/>
    <w:rsid w:val="00E54050"/>
    <w:rsid w:val="00E55586"/>
    <w:rsid w:val="00E563E0"/>
    <w:rsid w:val="00E571E9"/>
    <w:rsid w:val="00E60397"/>
    <w:rsid w:val="00E61C34"/>
    <w:rsid w:val="00E620CB"/>
    <w:rsid w:val="00E622C0"/>
    <w:rsid w:val="00E627CD"/>
    <w:rsid w:val="00E642EA"/>
    <w:rsid w:val="00E64717"/>
    <w:rsid w:val="00E65090"/>
    <w:rsid w:val="00E65529"/>
    <w:rsid w:val="00E66CDB"/>
    <w:rsid w:val="00E673AA"/>
    <w:rsid w:val="00E71711"/>
    <w:rsid w:val="00E71B08"/>
    <w:rsid w:val="00E73DDE"/>
    <w:rsid w:val="00E74B6C"/>
    <w:rsid w:val="00E74CDF"/>
    <w:rsid w:val="00E75290"/>
    <w:rsid w:val="00E75F07"/>
    <w:rsid w:val="00E814B7"/>
    <w:rsid w:val="00E82410"/>
    <w:rsid w:val="00E82445"/>
    <w:rsid w:val="00E83384"/>
    <w:rsid w:val="00E84295"/>
    <w:rsid w:val="00E86711"/>
    <w:rsid w:val="00E86CEE"/>
    <w:rsid w:val="00E86D2A"/>
    <w:rsid w:val="00E90868"/>
    <w:rsid w:val="00E95EE5"/>
    <w:rsid w:val="00E962C7"/>
    <w:rsid w:val="00E96C79"/>
    <w:rsid w:val="00E97AAA"/>
    <w:rsid w:val="00EA0676"/>
    <w:rsid w:val="00EA0AE5"/>
    <w:rsid w:val="00EA4EAD"/>
    <w:rsid w:val="00EA514B"/>
    <w:rsid w:val="00EA771A"/>
    <w:rsid w:val="00EA78B7"/>
    <w:rsid w:val="00EB07E2"/>
    <w:rsid w:val="00EB50B2"/>
    <w:rsid w:val="00EC1273"/>
    <w:rsid w:val="00EC186C"/>
    <w:rsid w:val="00EC1C33"/>
    <w:rsid w:val="00EC339B"/>
    <w:rsid w:val="00EC42AB"/>
    <w:rsid w:val="00EC5A59"/>
    <w:rsid w:val="00ED00A7"/>
    <w:rsid w:val="00ED199F"/>
    <w:rsid w:val="00ED59FC"/>
    <w:rsid w:val="00EE26E7"/>
    <w:rsid w:val="00EE4451"/>
    <w:rsid w:val="00EE449E"/>
    <w:rsid w:val="00EE4C95"/>
    <w:rsid w:val="00EE7FE6"/>
    <w:rsid w:val="00EF243A"/>
    <w:rsid w:val="00EF400F"/>
    <w:rsid w:val="00EF74DB"/>
    <w:rsid w:val="00F02A6D"/>
    <w:rsid w:val="00F03AB3"/>
    <w:rsid w:val="00F03C45"/>
    <w:rsid w:val="00F10847"/>
    <w:rsid w:val="00F10E90"/>
    <w:rsid w:val="00F11E73"/>
    <w:rsid w:val="00F121F9"/>
    <w:rsid w:val="00F124A4"/>
    <w:rsid w:val="00F124F2"/>
    <w:rsid w:val="00F129D7"/>
    <w:rsid w:val="00F1331E"/>
    <w:rsid w:val="00F13794"/>
    <w:rsid w:val="00F14B92"/>
    <w:rsid w:val="00F15498"/>
    <w:rsid w:val="00F15AFD"/>
    <w:rsid w:val="00F15CA6"/>
    <w:rsid w:val="00F16425"/>
    <w:rsid w:val="00F16607"/>
    <w:rsid w:val="00F2037F"/>
    <w:rsid w:val="00F232F7"/>
    <w:rsid w:val="00F30116"/>
    <w:rsid w:val="00F3131F"/>
    <w:rsid w:val="00F31B71"/>
    <w:rsid w:val="00F33B1B"/>
    <w:rsid w:val="00F35648"/>
    <w:rsid w:val="00F35B34"/>
    <w:rsid w:val="00F35FD6"/>
    <w:rsid w:val="00F424FB"/>
    <w:rsid w:val="00F46094"/>
    <w:rsid w:val="00F51757"/>
    <w:rsid w:val="00F524B9"/>
    <w:rsid w:val="00F53B4B"/>
    <w:rsid w:val="00F55B3B"/>
    <w:rsid w:val="00F55CE5"/>
    <w:rsid w:val="00F64B43"/>
    <w:rsid w:val="00F6503B"/>
    <w:rsid w:val="00F65CB9"/>
    <w:rsid w:val="00F666AE"/>
    <w:rsid w:val="00F66FB6"/>
    <w:rsid w:val="00F670DE"/>
    <w:rsid w:val="00F67930"/>
    <w:rsid w:val="00F731FE"/>
    <w:rsid w:val="00F737FD"/>
    <w:rsid w:val="00F744B5"/>
    <w:rsid w:val="00F8148F"/>
    <w:rsid w:val="00F81E29"/>
    <w:rsid w:val="00F85541"/>
    <w:rsid w:val="00F9228B"/>
    <w:rsid w:val="00F96671"/>
    <w:rsid w:val="00F96945"/>
    <w:rsid w:val="00F96C0E"/>
    <w:rsid w:val="00FA093B"/>
    <w:rsid w:val="00FA1FB3"/>
    <w:rsid w:val="00FA21F8"/>
    <w:rsid w:val="00FA4196"/>
    <w:rsid w:val="00FA4DDE"/>
    <w:rsid w:val="00FA6640"/>
    <w:rsid w:val="00FA6D01"/>
    <w:rsid w:val="00FA7062"/>
    <w:rsid w:val="00FB3A92"/>
    <w:rsid w:val="00FB58A0"/>
    <w:rsid w:val="00FB5A43"/>
    <w:rsid w:val="00FC09B4"/>
    <w:rsid w:val="00FC1440"/>
    <w:rsid w:val="00FC2C5D"/>
    <w:rsid w:val="00FC3D4D"/>
    <w:rsid w:val="00FC59A0"/>
    <w:rsid w:val="00FC64A6"/>
    <w:rsid w:val="00FC6DE9"/>
    <w:rsid w:val="00FC7D58"/>
    <w:rsid w:val="00FD3C02"/>
    <w:rsid w:val="00FD6FF0"/>
    <w:rsid w:val="00FD7311"/>
    <w:rsid w:val="00FE02FD"/>
    <w:rsid w:val="00FE119C"/>
    <w:rsid w:val="00FE1BB7"/>
    <w:rsid w:val="00FE3A0A"/>
    <w:rsid w:val="00FE6001"/>
    <w:rsid w:val="00FF1B1B"/>
    <w:rsid w:val="00FF5532"/>
    <w:rsid w:val="00FF7A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EB58"/>
  <w15:chartTrackingRefBased/>
  <w15:docId w15:val="{79FCD838-C5F6-4F73-A2FE-2EC0D535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4C2C"/>
    <w:pPr>
      <w:ind w:left="720"/>
      <w:contextualSpacing/>
    </w:pPr>
  </w:style>
  <w:style w:type="paragraph" w:styleId="En-tte">
    <w:name w:val="header"/>
    <w:basedOn w:val="Normal"/>
    <w:link w:val="En-tteCar"/>
    <w:uiPriority w:val="99"/>
    <w:unhideWhenUsed/>
    <w:rsid w:val="00234088"/>
    <w:pPr>
      <w:tabs>
        <w:tab w:val="center" w:pos="4536"/>
        <w:tab w:val="right" w:pos="9072"/>
      </w:tabs>
      <w:spacing w:after="0" w:line="240" w:lineRule="auto"/>
    </w:pPr>
  </w:style>
  <w:style w:type="character" w:customStyle="1" w:styleId="En-tteCar">
    <w:name w:val="En-tête Car"/>
    <w:basedOn w:val="Policepardfaut"/>
    <w:link w:val="En-tte"/>
    <w:uiPriority w:val="99"/>
    <w:rsid w:val="00234088"/>
  </w:style>
  <w:style w:type="paragraph" w:styleId="Pieddepage">
    <w:name w:val="footer"/>
    <w:basedOn w:val="Normal"/>
    <w:link w:val="PieddepageCar"/>
    <w:uiPriority w:val="99"/>
    <w:unhideWhenUsed/>
    <w:rsid w:val="002340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088"/>
  </w:style>
  <w:style w:type="table" w:styleId="Tableausimple1">
    <w:name w:val="Plain Table 1"/>
    <w:basedOn w:val="TableauNormal"/>
    <w:uiPriority w:val="41"/>
    <w:rsid w:val="002675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5">
    <w:name w:val="Grid Table 2 Accent 5"/>
    <w:basedOn w:val="TableauNormal"/>
    <w:uiPriority w:val="47"/>
    <w:rsid w:val="002675B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2">
    <w:name w:val="Grid Table 2"/>
    <w:basedOn w:val="TableauNormal"/>
    <w:uiPriority w:val="47"/>
    <w:rsid w:val="00614C6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3">
    <w:name w:val="Grid Table 2 Accent 3"/>
    <w:basedOn w:val="TableauNormal"/>
    <w:uiPriority w:val="47"/>
    <w:rsid w:val="00614C6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3">
    <w:name w:val="Grid Table 4 Accent 3"/>
    <w:basedOn w:val="TableauNormal"/>
    <w:uiPriority w:val="49"/>
    <w:rsid w:val="000746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lledutableau">
    <w:name w:val="Table Grid"/>
    <w:basedOn w:val="TableauNormal"/>
    <w:uiPriority w:val="39"/>
    <w:rsid w:val="0022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A7D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7D32"/>
    <w:rPr>
      <w:sz w:val="20"/>
      <w:szCs w:val="20"/>
    </w:rPr>
  </w:style>
  <w:style w:type="character" w:styleId="Appelnotedebasdep">
    <w:name w:val="footnote reference"/>
    <w:basedOn w:val="Policepardfaut"/>
    <w:uiPriority w:val="99"/>
    <w:semiHidden/>
    <w:unhideWhenUsed/>
    <w:rsid w:val="001A7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472099">
      <w:bodyDiv w:val="1"/>
      <w:marLeft w:val="0"/>
      <w:marRight w:val="0"/>
      <w:marTop w:val="0"/>
      <w:marBottom w:val="0"/>
      <w:divBdr>
        <w:top w:val="none" w:sz="0" w:space="0" w:color="auto"/>
        <w:left w:val="none" w:sz="0" w:space="0" w:color="auto"/>
        <w:bottom w:val="none" w:sz="0" w:space="0" w:color="auto"/>
        <w:right w:val="none" w:sz="0" w:space="0" w:color="auto"/>
      </w:divBdr>
    </w:div>
    <w:div w:id="1902133136">
      <w:bodyDiv w:val="1"/>
      <w:marLeft w:val="0"/>
      <w:marRight w:val="0"/>
      <w:marTop w:val="0"/>
      <w:marBottom w:val="0"/>
      <w:divBdr>
        <w:top w:val="none" w:sz="0" w:space="0" w:color="auto"/>
        <w:left w:val="none" w:sz="0" w:space="0" w:color="auto"/>
        <w:bottom w:val="none" w:sz="0" w:space="0" w:color="auto"/>
        <w:right w:val="none" w:sz="0" w:space="0" w:color="auto"/>
      </w:divBdr>
    </w:div>
    <w:div w:id="20248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BA4A-C83C-48EE-9628-D6C358A3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9267</Words>
  <Characters>50972</Characters>
  <Application>Microsoft Office Word</Application>
  <DocSecurity>0</DocSecurity>
  <Lines>424</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FINET</dc:creator>
  <cp:keywords/>
  <dc:description/>
  <cp:lastModifiedBy>Alain FINET</cp:lastModifiedBy>
  <cp:revision>2</cp:revision>
  <dcterms:created xsi:type="dcterms:W3CDTF">2020-11-21T10:04:00Z</dcterms:created>
  <dcterms:modified xsi:type="dcterms:W3CDTF">2020-11-21T10:04:00Z</dcterms:modified>
</cp:coreProperties>
</file>