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F9" w:rsidRDefault="007F6EAF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sz w:val="24"/>
          <w:lang w:val="fr-FR"/>
        </w:rPr>
      </w:pPr>
      <w:r w:rsidRPr="00FF1FAF">
        <w:rPr>
          <w:rFonts w:asciiTheme="minorHAnsi" w:hAnsiTheme="minorHAnsi" w:cstheme="minorHAnsi"/>
          <w:strike/>
          <w:sz w:val="24"/>
          <w:lang w:val="fr-FR"/>
        </w:rPr>
        <w:sym w:font="Wingdings" w:char="F070"/>
      </w:r>
      <w:r w:rsidRPr="00FF1FAF">
        <w:rPr>
          <w:rFonts w:asciiTheme="minorHAnsi" w:hAnsiTheme="minorHAnsi" w:cstheme="minorHAnsi"/>
          <w:strike/>
          <w:sz w:val="24"/>
          <w:lang w:val="fr-FR"/>
        </w:rPr>
        <w:t xml:space="preserve"> Oral</w:t>
      </w:r>
      <w:r w:rsidRPr="00FF1FAF">
        <w:rPr>
          <w:rFonts w:asciiTheme="minorHAnsi" w:hAnsiTheme="minorHAnsi" w:cstheme="minorHAnsi"/>
          <w:strike/>
          <w:sz w:val="24"/>
          <w:lang w:val="fr-FR"/>
        </w:rPr>
        <w:tab/>
      </w:r>
      <w:r w:rsidR="007F32F9">
        <w:rPr>
          <w:rFonts w:asciiTheme="minorHAnsi" w:hAnsiTheme="minorHAnsi" w:cstheme="minorHAnsi"/>
          <w:sz w:val="24"/>
          <w:lang w:val="fr-FR"/>
        </w:rPr>
        <w:t xml:space="preserve">                                         </w:t>
      </w:r>
      <w:r w:rsidRPr="00CC3C50">
        <w:rPr>
          <w:rFonts w:asciiTheme="minorHAnsi" w:hAnsiTheme="minorHAnsi" w:cstheme="minorHAnsi"/>
          <w:sz w:val="24"/>
          <w:lang w:val="fr-FR"/>
        </w:rPr>
        <w:tab/>
      </w:r>
      <w:r w:rsidR="00FF1FAF">
        <w:rPr>
          <w:rFonts w:asciiTheme="minorHAnsi" w:hAnsiTheme="minorHAnsi" w:cstheme="minorHAnsi"/>
          <w:sz w:val="24"/>
          <w:lang w:val="fr-FR"/>
        </w:rPr>
        <w:t>x</w:t>
      </w:r>
      <w:r w:rsidR="00CC3C50" w:rsidRPr="00CC3C50">
        <w:rPr>
          <w:rFonts w:asciiTheme="minorHAnsi" w:hAnsiTheme="minorHAnsi" w:cstheme="minorHAnsi"/>
          <w:sz w:val="24"/>
          <w:lang w:val="fr-FR"/>
        </w:rPr>
        <w:t xml:space="preserve"> </w:t>
      </w:r>
      <w:r w:rsidRPr="00CC3C50">
        <w:rPr>
          <w:rFonts w:asciiTheme="minorHAnsi" w:hAnsiTheme="minorHAnsi" w:cstheme="minorHAnsi"/>
          <w:sz w:val="24"/>
          <w:lang w:val="fr-FR"/>
        </w:rPr>
        <w:t xml:space="preserve"> Poster</w:t>
      </w:r>
      <w:r w:rsidR="007F32F9">
        <w:rPr>
          <w:rFonts w:asciiTheme="minorHAnsi" w:hAnsiTheme="minorHAnsi" w:cstheme="minorHAnsi"/>
          <w:sz w:val="24"/>
          <w:lang w:val="fr-FR"/>
        </w:rPr>
        <w:t xml:space="preserve"> </w:t>
      </w:r>
    </w:p>
    <w:p w:rsidR="007F6EAF" w:rsidRPr="007F32F9" w:rsidRDefault="007F6EAF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</w:pPr>
    </w:p>
    <w:p w:rsidR="007F32F9" w:rsidRPr="007F32F9" w:rsidRDefault="007F32F9" w:rsidP="007F32F9"/>
    <w:p w:rsidR="00D31ABA" w:rsidRPr="00CC3C50" w:rsidRDefault="00BE17A7" w:rsidP="00D31ABA">
      <w:pPr>
        <w:pStyle w:val="Sous-titre"/>
        <w:pBdr>
          <w:top w:val="single" w:sz="4" w:space="0" w:color="0000FF"/>
          <w:left w:val="single" w:sz="4" w:space="4" w:color="0000FF"/>
          <w:bottom w:val="single" w:sz="4" w:space="2" w:color="0000FF"/>
          <w:right w:val="single" w:sz="4" w:space="4" w:color="0000FF"/>
        </w:pBdr>
        <w:rPr>
          <w:rFonts w:asciiTheme="minorHAnsi" w:hAnsiTheme="minorHAnsi" w:cstheme="minorHAnsi"/>
          <w:szCs w:val="20"/>
          <w:lang w:val="fr-FR"/>
        </w:rPr>
      </w:pPr>
      <w:r>
        <w:rPr>
          <w:rFonts w:asciiTheme="minorHAnsi" w:hAnsiTheme="minorHAnsi" w:cstheme="minorHAnsi"/>
          <w:szCs w:val="20"/>
          <w:lang w:val="fr-FR"/>
        </w:rPr>
        <w:t>P</w:t>
      </w:r>
      <w:r w:rsidR="00FF1FAF" w:rsidRPr="00FF1FAF">
        <w:rPr>
          <w:rFonts w:asciiTheme="minorHAnsi" w:hAnsiTheme="minorHAnsi" w:cstheme="minorHAnsi"/>
          <w:szCs w:val="20"/>
          <w:lang w:val="fr-FR"/>
        </w:rPr>
        <w:t>erformances piézoélectriques et mécaniques de composites élaborés par imprégnation d’une mousse de BaTiO</w:t>
      </w:r>
      <w:r w:rsidR="00FF1FAF" w:rsidRPr="00944C62">
        <w:rPr>
          <w:rFonts w:asciiTheme="minorHAnsi" w:hAnsiTheme="minorHAnsi" w:cstheme="minorHAnsi"/>
          <w:szCs w:val="20"/>
          <w:vertAlign w:val="subscript"/>
          <w:lang w:val="fr-FR"/>
        </w:rPr>
        <w:t>3</w:t>
      </w:r>
      <w:r w:rsidR="00FF1FAF" w:rsidRPr="00FF1FAF">
        <w:rPr>
          <w:rFonts w:asciiTheme="minorHAnsi" w:hAnsiTheme="minorHAnsi" w:cstheme="minorHAnsi"/>
          <w:szCs w:val="20"/>
          <w:lang w:val="fr-FR"/>
        </w:rPr>
        <w:t xml:space="preserve"> par une résine polymère</w:t>
      </w:r>
    </w:p>
    <w:p w:rsidR="00D31ABA" w:rsidRPr="00CC3C50" w:rsidRDefault="00D31ABA">
      <w:pPr>
        <w:tabs>
          <w:tab w:val="left" w:pos="432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0D0F98" w:rsidRPr="007F32F9" w:rsidRDefault="00FF1FAF" w:rsidP="00CC3C5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4320"/>
        </w:tabs>
        <w:ind w:firstLine="708"/>
        <w:jc w:val="center"/>
        <w:rPr>
          <w:rFonts w:asciiTheme="minorHAnsi" w:hAnsiTheme="minorHAnsi" w:cstheme="minorHAnsi"/>
          <w:b/>
          <w:szCs w:val="20"/>
        </w:rPr>
      </w:pPr>
      <w:r w:rsidRPr="00FF1FAF">
        <w:rPr>
          <w:rFonts w:asciiTheme="minorHAnsi" w:hAnsiTheme="minorHAnsi" w:cstheme="minorHAnsi"/>
          <w:b/>
          <w:szCs w:val="20"/>
        </w:rPr>
        <w:t>Maxime LOBRY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1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, </w:t>
      </w:r>
      <w:r>
        <w:rPr>
          <w:rFonts w:asciiTheme="minorHAnsi" w:hAnsiTheme="minorHAnsi" w:cstheme="minorHAnsi"/>
          <w:b/>
          <w:szCs w:val="20"/>
        </w:rPr>
        <w:t>Florian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b/>
          <w:szCs w:val="20"/>
        </w:rPr>
        <w:t>DUPLA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  <w:r w:rsidR="00944C62">
        <w:rPr>
          <w:rFonts w:asciiTheme="minorHAnsi" w:hAnsiTheme="minorHAnsi" w:cstheme="minorHAnsi"/>
          <w:b/>
          <w:szCs w:val="20"/>
          <w:vertAlign w:val="superscript"/>
        </w:rPr>
        <w:t>1</w:t>
      </w:r>
      <w:r w:rsidR="00944C62" w:rsidRPr="007F32F9">
        <w:rPr>
          <w:rFonts w:asciiTheme="minorHAnsi" w:hAnsiTheme="minorHAnsi" w:cstheme="minorHAnsi"/>
          <w:b/>
          <w:szCs w:val="20"/>
          <w:vertAlign w:val="superscript"/>
        </w:rPr>
        <w:t>,</w:t>
      </w:r>
      <w:r w:rsidRPr="007F32F9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b/>
          <w:szCs w:val="20"/>
        </w:rPr>
        <w:t>Marie-Sophie</w:t>
      </w:r>
      <w:r w:rsidRPr="007F32F9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b/>
          <w:szCs w:val="20"/>
        </w:rPr>
        <w:t>RENOIRT</w:t>
      </w:r>
      <w:r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  <w:r>
        <w:rPr>
          <w:rFonts w:asciiTheme="minorHAnsi" w:hAnsiTheme="minorHAnsi" w:cstheme="minorHAnsi"/>
          <w:b/>
          <w:szCs w:val="20"/>
          <w:vertAlign w:val="superscript"/>
        </w:rPr>
        <w:t>1</w:t>
      </w:r>
      <w:r w:rsidRPr="007F32F9">
        <w:rPr>
          <w:rFonts w:asciiTheme="minorHAnsi" w:hAnsiTheme="minorHAnsi" w:cstheme="minorHAnsi"/>
          <w:b/>
          <w:szCs w:val="20"/>
        </w:rPr>
        <w:t xml:space="preserve">, </w:t>
      </w:r>
      <w:r w:rsidRPr="00FF1FAF">
        <w:rPr>
          <w:rFonts w:asciiTheme="minorHAnsi" w:hAnsiTheme="minorHAnsi" w:cstheme="minorHAnsi"/>
          <w:b/>
          <w:szCs w:val="20"/>
          <w:u w:val="single"/>
        </w:rPr>
        <w:t>Maurice GONON</w:t>
      </w:r>
      <w:r w:rsidRPr="00FF1FAF">
        <w:rPr>
          <w:rFonts w:asciiTheme="minorHAnsi" w:hAnsiTheme="minorHAnsi" w:cstheme="minorHAnsi"/>
          <w:b/>
          <w:szCs w:val="20"/>
          <w:u w:val="single"/>
          <w:vertAlign w:val="superscript"/>
        </w:rPr>
        <w:t xml:space="preserve"> 1</w:t>
      </w:r>
    </w:p>
    <w:p w:rsidR="000D0F98" w:rsidRPr="00CC3C50" w:rsidRDefault="000D0F9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/>
          <w:bCs/>
          <w:sz w:val="20"/>
        </w:rPr>
      </w:pPr>
    </w:p>
    <w:p w:rsidR="00D31ABA" w:rsidRPr="00CC3C50" w:rsidRDefault="000D0F98" w:rsidP="00FF1FAF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  <w:r w:rsidRPr="00CC3C50">
        <w:rPr>
          <w:rFonts w:asciiTheme="minorHAnsi" w:hAnsiTheme="minorHAnsi" w:cstheme="minorHAnsi"/>
          <w:vertAlign w:val="superscript"/>
          <w:lang w:val="fr-FR"/>
        </w:rPr>
        <w:t xml:space="preserve">1 </w:t>
      </w:r>
      <w:r w:rsidR="00FF1FAF">
        <w:rPr>
          <w:rFonts w:asciiTheme="minorHAnsi" w:hAnsiTheme="minorHAnsi" w:cstheme="minorHAnsi"/>
          <w:lang w:val="fr-FR"/>
        </w:rPr>
        <w:t>Institut Matériaux UMONS, Rue de l’Epargne 56, 7000 Mons (Belgique)</w:t>
      </w:r>
      <w:r w:rsidR="003C095F" w:rsidRPr="00CC3C50">
        <w:rPr>
          <w:rFonts w:asciiTheme="minorHAnsi" w:hAnsiTheme="minorHAnsi" w:cstheme="minorHAnsi"/>
          <w:lang w:val="fr-FR"/>
        </w:rPr>
        <w:br/>
      </w:r>
    </w:p>
    <w:p w:rsidR="00D31ABA" w:rsidRPr="00CC3C50" w:rsidRDefault="00D31ABA">
      <w:pPr>
        <w:pStyle w:val="Notedebasdepage"/>
        <w:rPr>
          <w:rFonts w:asciiTheme="minorHAnsi" w:hAnsiTheme="minorHAnsi" w:cstheme="minorHAnsi"/>
          <w:szCs w:val="24"/>
        </w:rPr>
      </w:pPr>
    </w:p>
    <w:p w:rsidR="001F42A5" w:rsidRPr="00CC3C50" w:rsidRDefault="000D0F98" w:rsidP="00CC3C50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b w:val="0"/>
          <w:bCs w:val="0"/>
          <w:i/>
          <w:iCs/>
          <w:szCs w:val="22"/>
          <w:lang w:val="fr-FR"/>
        </w:rPr>
      </w:pPr>
      <w:r w:rsidRPr="00CC3C50">
        <w:rPr>
          <w:rFonts w:asciiTheme="minorHAnsi" w:hAnsiTheme="minorHAnsi" w:cstheme="minorHAnsi"/>
          <w:szCs w:val="22"/>
          <w:lang w:val="fr-FR"/>
        </w:rPr>
        <w:t>Résumé</w:t>
      </w:r>
      <w:r w:rsidR="007F6EAF" w:rsidRPr="00CC3C50">
        <w:rPr>
          <w:rFonts w:asciiTheme="minorHAnsi" w:hAnsiTheme="minorHAnsi" w:cstheme="minorHAnsi"/>
          <w:szCs w:val="22"/>
          <w:lang w:val="fr-FR"/>
        </w:rPr>
        <w:t xml:space="preserve"> </w:t>
      </w:r>
    </w:p>
    <w:p w:rsidR="00FF1FAF" w:rsidRPr="00FF1FAF" w:rsidRDefault="00FF1FAF" w:rsidP="002C1D16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before="120"/>
        <w:rPr>
          <w:rFonts w:asciiTheme="minorHAnsi" w:hAnsiTheme="minorHAnsi" w:cstheme="minorHAnsi"/>
          <w:szCs w:val="22"/>
          <w:lang w:val="fr-FR"/>
        </w:rPr>
      </w:pPr>
      <w:r w:rsidRPr="00FF1FAF">
        <w:rPr>
          <w:rFonts w:asciiTheme="minorHAnsi" w:hAnsiTheme="minorHAnsi" w:cstheme="minorHAnsi"/>
          <w:szCs w:val="22"/>
          <w:lang w:val="fr-FR"/>
        </w:rPr>
        <w:t>L’objectif de ce travail est de développer des composites piézoélectriques combinant de bonne performances électromécaniques à une certaine flexibilité. De tels matériaux peuvent trouver application dans la réalisation de capteurs SAW pour le domaine du CND.</w:t>
      </w:r>
    </w:p>
    <w:p w:rsidR="00FF1FAF" w:rsidRDefault="00FF1FAF" w:rsidP="002C1D16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before="120"/>
        <w:rPr>
          <w:rFonts w:asciiTheme="minorHAnsi" w:hAnsiTheme="minorHAnsi" w:cstheme="minorHAnsi"/>
          <w:szCs w:val="22"/>
          <w:lang w:val="fr-FR"/>
        </w:rPr>
      </w:pPr>
      <w:r w:rsidRPr="00FF1FAF">
        <w:rPr>
          <w:rFonts w:asciiTheme="minorHAnsi" w:hAnsiTheme="minorHAnsi" w:cstheme="minorHAnsi"/>
          <w:szCs w:val="22"/>
          <w:lang w:val="fr-FR"/>
        </w:rPr>
        <w:t xml:space="preserve">Les </w:t>
      </w:r>
      <w:r w:rsidRPr="000D1923">
        <w:rPr>
          <w:rFonts w:asciiTheme="minorHAnsi" w:hAnsiTheme="minorHAnsi" w:cstheme="minorHAnsi"/>
          <w:szCs w:val="22"/>
          <w:lang w:val="fr-FR"/>
        </w:rPr>
        <w:t>composites piézoélectriques étudiés ont été élaboré</w:t>
      </w:r>
      <w:r w:rsidR="00BE17A7">
        <w:rPr>
          <w:rFonts w:asciiTheme="minorHAnsi" w:hAnsiTheme="minorHAnsi" w:cstheme="minorHAnsi"/>
          <w:szCs w:val="22"/>
          <w:lang w:val="fr-FR"/>
        </w:rPr>
        <w:t>s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 par imprégnation</w:t>
      </w:r>
      <w:r w:rsidR="001973A6">
        <w:rPr>
          <w:rFonts w:asciiTheme="minorHAnsi" w:hAnsiTheme="minorHAnsi" w:cstheme="minorHAnsi"/>
          <w:szCs w:val="22"/>
          <w:lang w:val="fr-FR"/>
        </w:rPr>
        <w:t xml:space="preserve"> par un</w:t>
      </w:r>
      <w:r w:rsidR="00CC35EA">
        <w:rPr>
          <w:rFonts w:asciiTheme="minorHAnsi" w:hAnsiTheme="minorHAnsi" w:cstheme="minorHAnsi"/>
          <w:szCs w:val="22"/>
          <w:lang w:val="fr-FR"/>
        </w:rPr>
        <w:t xml:space="preserve"> polymère 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d’une préforme </w:t>
      </w:r>
      <w:r w:rsidR="001973A6">
        <w:rPr>
          <w:rFonts w:asciiTheme="minorHAnsi" w:hAnsiTheme="minorHAnsi" w:cstheme="minorHAnsi"/>
          <w:szCs w:val="22"/>
          <w:lang w:val="fr-FR"/>
        </w:rPr>
        <w:t>macro</w:t>
      </w:r>
      <w:r w:rsidRPr="000D1923">
        <w:rPr>
          <w:rFonts w:asciiTheme="minorHAnsi" w:hAnsiTheme="minorHAnsi" w:cstheme="minorHAnsi"/>
          <w:szCs w:val="22"/>
          <w:lang w:val="fr-FR"/>
        </w:rPr>
        <w:t>poreuse de BaTiO</w:t>
      </w:r>
      <w:r w:rsidRPr="000D1923">
        <w:rPr>
          <w:rFonts w:asciiTheme="minorHAnsi" w:hAnsiTheme="minorHAnsi" w:cstheme="minorHAnsi"/>
          <w:szCs w:val="22"/>
          <w:vertAlign w:val="subscript"/>
          <w:lang w:val="fr-FR"/>
        </w:rPr>
        <w:t>3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 obtenue par la technique de moussage direct.</w:t>
      </w:r>
    </w:p>
    <w:p w:rsidR="00FF1FAF" w:rsidRPr="000D1923" w:rsidRDefault="00FF1FAF" w:rsidP="002C1D16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before="120"/>
        <w:rPr>
          <w:rFonts w:asciiTheme="minorHAnsi" w:hAnsiTheme="minorHAnsi" w:cstheme="minorHAnsi"/>
          <w:szCs w:val="22"/>
          <w:lang w:val="fr-FR"/>
        </w:rPr>
      </w:pPr>
      <w:r w:rsidRPr="000D1923">
        <w:rPr>
          <w:rFonts w:asciiTheme="minorHAnsi" w:hAnsiTheme="minorHAnsi" w:cstheme="minorHAnsi"/>
          <w:szCs w:val="22"/>
          <w:lang w:val="fr-FR"/>
        </w:rPr>
        <w:t xml:space="preserve">Le polymère choisi pour l’infiltration est dérivé de la résine époxyde </w:t>
      </w:r>
      <w:proofErr w:type="spellStart"/>
      <w:r w:rsidRPr="000D1923">
        <w:rPr>
          <w:rFonts w:asciiTheme="minorHAnsi" w:hAnsiTheme="minorHAnsi" w:cstheme="minorHAnsi"/>
          <w:szCs w:val="22"/>
          <w:lang w:val="fr-FR"/>
        </w:rPr>
        <w:t>diglycidyl</w:t>
      </w:r>
      <w:proofErr w:type="spellEnd"/>
      <w:r w:rsidRPr="000D1923">
        <w:rPr>
          <w:rFonts w:asciiTheme="minorHAnsi" w:hAnsiTheme="minorHAnsi" w:cstheme="minorHAnsi"/>
          <w:szCs w:val="22"/>
          <w:lang w:val="fr-FR"/>
        </w:rPr>
        <w:t xml:space="preserve"> éther de bisphénol A (résine époxyde DGEBA) par addition de po</w:t>
      </w:r>
      <w:r w:rsidR="001973A6">
        <w:rPr>
          <w:rFonts w:asciiTheme="minorHAnsi" w:hAnsiTheme="minorHAnsi" w:cstheme="minorHAnsi"/>
          <w:szCs w:val="22"/>
          <w:lang w:val="fr-FR"/>
        </w:rPr>
        <w:t>lyéthylène glycol 300 (PEG 300)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. Le durcisseur utilisé pour la résine est du </w:t>
      </w:r>
      <w:proofErr w:type="spellStart"/>
      <w:r w:rsidRPr="000D1923">
        <w:rPr>
          <w:rFonts w:asciiTheme="minorHAnsi" w:hAnsiTheme="minorHAnsi" w:cstheme="minorHAnsi"/>
          <w:szCs w:val="22"/>
          <w:lang w:val="fr-FR"/>
        </w:rPr>
        <w:t>triéthylènetetramine</w:t>
      </w:r>
      <w:proofErr w:type="spellEnd"/>
      <w:r w:rsidRPr="000D1923">
        <w:rPr>
          <w:rFonts w:asciiTheme="minorHAnsi" w:hAnsiTheme="minorHAnsi" w:cstheme="minorHAnsi"/>
          <w:szCs w:val="22"/>
          <w:lang w:val="fr-FR"/>
        </w:rPr>
        <w:t>.</w:t>
      </w:r>
    </w:p>
    <w:p w:rsidR="007F32F9" w:rsidRDefault="00FF1FAF" w:rsidP="002C1D16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before="120"/>
        <w:rPr>
          <w:rFonts w:asciiTheme="minorHAnsi" w:hAnsiTheme="minorHAnsi" w:cstheme="minorHAnsi"/>
          <w:szCs w:val="22"/>
          <w:lang w:val="fr-FR"/>
        </w:rPr>
      </w:pPr>
      <w:r w:rsidRPr="000D1923">
        <w:rPr>
          <w:rFonts w:asciiTheme="minorHAnsi" w:hAnsiTheme="minorHAnsi" w:cstheme="minorHAnsi"/>
          <w:szCs w:val="22"/>
          <w:lang w:val="fr-FR"/>
        </w:rPr>
        <w:t xml:space="preserve">Les performances piézoélectriques </w:t>
      </w:r>
      <w:r w:rsidR="001973A6">
        <w:rPr>
          <w:rFonts w:asciiTheme="minorHAnsi" w:hAnsiTheme="minorHAnsi" w:cstheme="minorHAnsi"/>
          <w:szCs w:val="22"/>
          <w:lang w:val="fr-FR"/>
        </w:rPr>
        <w:t xml:space="preserve">des préformes et des composites 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ont été </w:t>
      </w:r>
      <w:r w:rsidR="001973A6" w:rsidRPr="000D1923">
        <w:rPr>
          <w:rFonts w:asciiTheme="minorHAnsi" w:hAnsiTheme="minorHAnsi" w:cstheme="minorHAnsi"/>
          <w:szCs w:val="22"/>
          <w:lang w:val="fr-FR"/>
        </w:rPr>
        <w:t>évaluée</w:t>
      </w:r>
      <w:r w:rsidR="001973A6">
        <w:rPr>
          <w:rFonts w:asciiTheme="minorHAnsi" w:hAnsiTheme="minorHAnsi" w:cstheme="minorHAnsi"/>
          <w:szCs w:val="22"/>
          <w:lang w:val="fr-FR"/>
        </w:rPr>
        <w:t>s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 par la mesure du coefficient piézoélectrique de charge d</w:t>
      </w:r>
      <w:r w:rsidRPr="000D1923">
        <w:rPr>
          <w:rFonts w:asciiTheme="minorHAnsi" w:hAnsiTheme="minorHAnsi" w:cstheme="minorHAnsi"/>
          <w:szCs w:val="22"/>
          <w:vertAlign w:val="subscript"/>
          <w:lang w:val="fr-FR"/>
        </w:rPr>
        <w:t>33</w:t>
      </w:r>
      <w:r w:rsidRPr="000D1923">
        <w:rPr>
          <w:rFonts w:asciiTheme="minorHAnsi" w:hAnsiTheme="minorHAnsi" w:cstheme="minorHAnsi"/>
          <w:szCs w:val="22"/>
          <w:lang w:val="fr-FR"/>
        </w:rPr>
        <w:t>. Le</w:t>
      </w:r>
      <w:r w:rsidR="001973A6">
        <w:rPr>
          <w:rFonts w:asciiTheme="minorHAnsi" w:hAnsiTheme="minorHAnsi" w:cstheme="minorHAnsi"/>
          <w:szCs w:val="22"/>
          <w:lang w:val="fr-FR"/>
        </w:rPr>
        <w:t>s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 comportement</w:t>
      </w:r>
      <w:r w:rsidR="001973A6">
        <w:rPr>
          <w:rFonts w:asciiTheme="minorHAnsi" w:hAnsiTheme="minorHAnsi" w:cstheme="minorHAnsi"/>
          <w:szCs w:val="22"/>
          <w:lang w:val="fr-FR"/>
        </w:rPr>
        <w:t>s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 mécanique</w:t>
      </w:r>
      <w:r w:rsidR="001973A6">
        <w:rPr>
          <w:rFonts w:asciiTheme="minorHAnsi" w:hAnsiTheme="minorHAnsi" w:cstheme="minorHAnsi"/>
          <w:szCs w:val="22"/>
          <w:lang w:val="fr-FR"/>
        </w:rPr>
        <w:t>s des polymères et des composites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 </w:t>
      </w:r>
      <w:r w:rsidR="001973A6">
        <w:rPr>
          <w:rFonts w:asciiTheme="minorHAnsi" w:hAnsiTheme="minorHAnsi" w:cstheme="minorHAnsi"/>
          <w:szCs w:val="22"/>
          <w:lang w:val="fr-FR"/>
        </w:rPr>
        <w:t>ont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 été caractérisé</w:t>
      </w:r>
      <w:r w:rsidR="001973A6">
        <w:rPr>
          <w:rFonts w:asciiTheme="minorHAnsi" w:hAnsiTheme="minorHAnsi" w:cstheme="minorHAnsi"/>
          <w:szCs w:val="22"/>
          <w:lang w:val="fr-FR"/>
        </w:rPr>
        <w:t>s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 par des essais de flexion.</w:t>
      </w:r>
    </w:p>
    <w:p w:rsidR="000D1923" w:rsidRPr="000D1923" w:rsidRDefault="000D1923" w:rsidP="002C1D16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before="120"/>
        <w:rPr>
          <w:rFonts w:asciiTheme="minorHAnsi" w:hAnsiTheme="minorHAnsi" w:cstheme="minorHAnsi"/>
          <w:szCs w:val="22"/>
          <w:lang w:val="fr-FR"/>
        </w:rPr>
      </w:pPr>
      <w:r w:rsidRPr="000D1923">
        <w:rPr>
          <w:rFonts w:asciiTheme="minorHAnsi" w:hAnsiTheme="minorHAnsi" w:cstheme="minorHAnsi"/>
          <w:szCs w:val="22"/>
          <w:lang w:val="fr-FR"/>
        </w:rPr>
        <w:t>L</w:t>
      </w:r>
      <w:r w:rsidR="00944C62" w:rsidRPr="000D1923">
        <w:rPr>
          <w:rFonts w:asciiTheme="minorHAnsi" w:hAnsiTheme="minorHAnsi" w:cstheme="minorHAnsi"/>
          <w:szCs w:val="22"/>
          <w:lang w:val="fr-FR"/>
        </w:rPr>
        <w:t xml:space="preserve">es conditions d’élaboration des 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préformes </w:t>
      </w:r>
      <w:r w:rsidR="00944C62" w:rsidRPr="000D1923">
        <w:rPr>
          <w:rFonts w:asciiTheme="minorHAnsi" w:hAnsiTheme="minorHAnsi" w:cstheme="minorHAnsi"/>
          <w:szCs w:val="22"/>
          <w:lang w:val="fr-FR"/>
        </w:rPr>
        <w:t>de BaTiO</w:t>
      </w:r>
      <w:r w:rsidR="00944C62" w:rsidRPr="000D1923">
        <w:rPr>
          <w:rFonts w:asciiTheme="minorHAnsi" w:hAnsiTheme="minorHAnsi" w:cstheme="minorHAnsi"/>
          <w:szCs w:val="22"/>
          <w:vertAlign w:val="subscript"/>
          <w:lang w:val="fr-FR"/>
        </w:rPr>
        <w:t>3</w:t>
      </w:r>
      <w:r w:rsidR="00944C62" w:rsidRPr="000D1923">
        <w:rPr>
          <w:rFonts w:asciiTheme="minorHAnsi" w:hAnsiTheme="minorHAnsi" w:cstheme="minorHAnsi"/>
          <w:szCs w:val="22"/>
          <w:lang w:val="fr-FR"/>
        </w:rPr>
        <w:t xml:space="preserve"> macroporeuses ont été choisies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 dans le</w:t>
      </w:r>
      <w:r w:rsidR="00944C62" w:rsidRPr="000D1923">
        <w:rPr>
          <w:rFonts w:asciiTheme="minorHAnsi" w:hAnsiTheme="minorHAnsi" w:cstheme="minorHAnsi"/>
          <w:szCs w:val="22"/>
          <w:lang w:val="fr-FR"/>
        </w:rPr>
        <w:t xml:space="preserve"> but 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d’obtenir </w:t>
      </w:r>
      <w:r w:rsidR="00944C62" w:rsidRPr="000D1923">
        <w:rPr>
          <w:rFonts w:asciiTheme="minorHAnsi" w:hAnsiTheme="minorHAnsi" w:cstheme="minorHAnsi"/>
          <w:szCs w:val="22"/>
          <w:lang w:val="fr-FR"/>
        </w:rPr>
        <w:t xml:space="preserve"> de bonnes propriétés piézoélectriques tout en conservant un taux de porosité 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ouverte </w:t>
      </w:r>
      <w:r w:rsidR="00944C62" w:rsidRPr="000D1923">
        <w:rPr>
          <w:rFonts w:asciiTheme="minorHAnsi" w:hAnsiTheme="minorHAnsi" w:cstheme="minorHAnsi"/>
          <w:szCs w:val="22"/>
          <w:lang w:val="fr-FR"/>
        </w:rPr>
        <w:t xml:space="preserve">élevé pour garantir </w:t>
      </w:r>
      <w:r w:rsidRPr="000D1923">
        <w:rPr>
          <w:rFonts w:asciiTheme="minorHAnsi" w:hAnsiTheme="minorHAnsi" w:cstheme="minorHAnsi"/>
          <w:szCs w:val="22"/>
          <w:lang w:val="fr-FR"/>
        </w:rPr>
        <w:t>une bonne imprégnation par le polymère</w:t>
      </w:r>
      <w:r w:rsidR="00944C62" w:rsidRPr="000D1923">
        <w:rPr>
          <w:rFonts w:asciiTheme="minorHAnsi" w:hAnsiTheme="minorHAnsi" w:cstheme="minorHAnsi"/>
          <w:szCs w:val="22"/>
          <w:lang w:val="fr-FR"/>
        </w:rPr>
        <w:t>. La caractérisation des échantillons de BaTiO</w:t>
      </w:r>
      <w:r w:rsidR="00944C62" w:rsidRPr="000D1923">
        <w:rPr>
          <w:rFonts w:asciiTheme="minorHAnsi" w:hAnsiTheme="minorHAnsi" w:cstheme="minorHAnsi"/>
          <w:szCs w:val="22"/>
          <w:vertAlign w:val="subscript"/>
          <w:lang w:val="fr-FR"/>
        </w:rPr>
        <w:t>3</w:t>
      </w:r>
      <w:r w:rsidR="00944C62" w:rsidRPr="000D1923">
        <w:rPr>
          <w:rFonts w:asciiTheme="minorHAnsi" w:hAnsiTheme="minorHAnsi" w:cstheme="minorHAnsi"/>
          <w:szCs w:val="22"/>
          <w:lang w:val="fr-FR"/>
        </w:rPr>
        <w:t xml:space="preserve"> macroporeux a montr</w:t>
      </w:r>
      <w:r>
        <w:rPr>
          <w:rFonts w:asciiTheme="minorHAnsi" w:hAnsiTheme="minorHAnsi" w:cstheme="minorHAnsi"/>
          <w:szCs w:val="22"/>
          <w:lang w:val="fr-FR"/>
        </w:rPr>
        <w:t>é</w:t>
      </w:r>
      <w:r w:rsidR="00944C62" w:rsidRPr="000D1923">
        <w:rPr>
          <w:rFonts w:asciiTheme="minorHAnsi" w:hAnsiTheme="minorHAnsi" w:cstheme="minorHAnsi"/>
          <w:szCs w:val="22"/>
          <w:lang w:val="fr-FR"/>
        </w:rPr>
        <w:t xml:space="preserve"> que les conditions d’élaboration choisies menaient à un taux de porosité de 82 ± 1%, un d</w:t>
      </w:r>
      <w:r w:rsidR="00944C62" w:rsidRPr="000D1923">
        <w:rPr>
          <w:rFonts w:asciiTheme="minorHAnsi" w:hAnsiTheme="minorHAnsi" w:cstheme="minorHAnsi"/>
          <w:szCs w:val="22"/>
          <w:vertAlign w:val="subscript"/>
          <w:lang w:val="fr-FR"/>
        </w:rPr>
        <w:t>50</w:t>
      </w:r>
      <w:r w:rsidR="00944C62" w:rsidRPr="000D1923">
        <w:rPr>
          <w:rFonts w:asciiTheme="minorHAnsi" w:hAnsiTheme="minorHAnsi" w:cstheme="minorHAnsi"/>
          <w:szCs w:val="22"/>
          <w:lang w:val="fr-FR"/>
        </w:rPr>
        <w:t xml:space="preserve"> de 48 ± 2 µm et un coefficient piézoélectrique de charge maxim</w:t>
      </w:r>
      <w:r w:rsidRPr="000D1923">
        <w:rPr>
          <w:rFonts w:asciiTheme="minorHAnsi" w:hAnsiTheme="minorHAnsi" w:cstheme="minorHAnsi"/>
          <w:szCs w:val="22"/>
          <w:lang w:val="fr-FR"/>
        </w:rPr>
        <w:t>um</w:t>
      </w:r>
      <w:r w:rsidR="00944C62" w:rsidRPr="000D1923">
        <w:rPr>
          <w:rFonts w:asciiTheme="minorHAnsi" w:hAnsiTheme="minorHAnsi" w:cstheme="minorHAnsi"/>
          <w:szCs w:val="22"/>
          <w:lang w:val="fr-FR"/>
        </w:rPr>
        <w:t xml:space="preserve"> </w:t>
      </w:r>
      <w:r w:rsidRPr="000D1923">
        <w:rPr>
          <w:rFonts w:asciiTheme="minorHAnsi" w:hAnsiTheme="minorHAnsi" w:cstheme="minorHAnsi"/>
          <w:szCs w:val="22"/>
          <w:lang w:val="fr-FR"/>
        </w:rPr>
        <w:t>de</w:t>
      </w:r>
      <w:r w:rsidR="00944C62" w:rsidRPr="000D1923">
        <w:rPr>
          <w:rFonts w:asciiTheme="minorHAnsi" w:hAnsiTheme="minorHAnsi" w:cstheme="minorHAnsi"/>
          <w:szCs w:val="22"/>
          <w:lang w:val="fr-FR"/>
        </w:rPr>
        <w:t xml:space="preserve"> 136 </w:t>
      </w:r>
      <w:proofErr w:type="spellStart"/>
      <w:r w:rsidR="00944C62" w:rsidRPr="000D1923">
        <w:rPr>
          <w:rFonts w:asciiTheme="minorHAnsi" w:hAnsiTheme="minorHAnsi" w:cstheme="minorHAnsi"/>
          <w:szCs w:val="22"/>
          <w:lang w:val="fr-FR"/>
        </w:rPr>
        <w:t>pC</w:t>
      </w:r>
      <w:proofErr w:type="spellEnd"/>
      <w:r w:rsidR="00944C62" w:rsidRPr="000D1923">
        <w:rPr>
          <w:rFonts w:asciiTheme="minorHAnsi" w:hAnsiTheme="minorHAnsi" w:cstheme="minorHAnsi"/>
          <w:szCs w:val="22"/>
          <w:lang w:val="fr-FR"/>
        </w:rPr>
        <w:t>/N.</w:t>
      </w:r>
    </w:p>
    <w:p w:rsidR="00944C62" w:rsidRPr="000D1923" w:rsidRDefault="00944C62" w:rsidP="002C1D16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before="120"/>
        <w:rPr>
          <w:rFonts w:asciiTheme="minorHAnsi" w:hAnsiTheme="minorHAnsi" w:cstheme="minorHAnsi"/>
          <w:szCs w:val="22"/>
          <w:lang w:val="fr-FR"/>
        </w:rPr>
      </w:pPr>
      <w:r w:rsidRPr="000D1923">
        <w:rPr>
          <w:rFonts w:asciiTheme="minorHAnsi" w:hAnsiTheme="minorHAnsi" w:cstheme="minorHAnsi"/>
          <w:szCs w:val="22"/>
          <w:lang w:val="fr-FR"/>
        </w:rPr>
        <w:t xml:space="preserve">Afin de </w:t>
      </w:r>
      <w:r w:rsidR="000D1923" w:rsidRPr="000D1923">
        <w:rPr>
          <w:rFonts w:asciiTheme="minorHAnsi" w:hAnsiTheme="minorHAnsi" w:cstheme="minorHAnsi"/>
          <w:szCs w:val="22"/>
          <w:lang w:val="fr-FR"/>
        </w:rPr>
        <w:t>caractériser</w:t>
      </w:r>
      <w:r w:rsidR="00034C1C">
        <w:rPr>
          <w:rFonts w:asciiTheme="minorHAnsi" w:hAnsiTheme="minorHAnsi" w:cstheme="minorHAnsi"/>
          <w:szCs w:val="22"/>
          <w:lang w:val="fr-FR"/>
        </w:rPr>
        <w:t xml:space="preserve"> mécaniquement </w:t>
      </w:r>
      <w:r w:rsidR="000D1923" w:rsidRPr="000D1923">
        <w:rPr>
          <w:rFonts w:asciiTheme="minorHAnsi" w:hAnsiTheme="minorHAnsi" w:cstheme="minorHAnsi"/>
          <w:szCs w:val="22"/>
          <w:lang w:val="fr-FR"/>
        </w:rPr>
        <w:t>les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 polymères d’imprégnation, des essais de flexion 3 points ont été effectué sur des barrettes 3X4X45 </w:t>
      </w:r>
      <w:proofErr w:type="spellStart"/>
      <w:r w:rsidRPr="000D1923">
        <w:rPr>
          <w:rFonts w:asciiTheme="minorHAnsi" w:hAnsiTheme="minorHAnsi" w:cstheme="minorHAnsi"/>
          <w:szCs w:val="22"/>
          <w:lang w:val="fr-FR"/>
        </w:rPr>
        <w:t>mm.</w:t>
      </w:r>
      <w:proofErr w:type="spellEnd"/>
      <w:r w:rsidRPr="000D1923">
        <w:rPr>
          <w:rFonts w:asciiTheme="minorHAnsi" w:hAnsiTheme="minorHAnsi" w:cstheme="minorHAnsi"/>
          <w:szCs w:val="22"/>
          <w:lang w:val="fr-FR"/>
        </w:rPr>
        <w:t xml:space="preserve"> </w:t>
      </w:r>
      <w:r w:rsidR="00034C1C">
        <w:rPr>
          <w:rFonts w:asciiTheme="minorHAnsi" w:hAnsiTheme="minorHAnsi" w:cstheme="minorHAnsi"/>
          <w:szCs w:val="22"/>
          <w:lang w:val="fr-FR"/>
        </w:rPr>
        <w:t>C</w:t>
      </w:r>
      <w:r w:rsidRPr="000D1923">
        <w:rPr>
          <w:rFonts w:asciiTheme="minorHAnsi" w:hAnsiTheme="minorHAnsi" w:cstheme="minorHAnsi"/>
          <w:szCs w:val="22"/>
          <w:lang w:val="fr-FR"/>
        </w:rPr>
        <w:t>es essais ont montré que le module de Young du polymère chute rapidement d’environ 25</w:t>
      </w:r>
      <w:r w:rsidR="001973A6">
        <w:rPr>
          <w:rFonts w:asciiTheme="minorHAnsi" w:hAnsiTheme="minorHAnsi" w:cstheme="minorHAnsi"/>
          <w:szCs w:val="22"/>
          <w:lang w:val="fr-FR"/>
        </w:rPr>
        <w:t>00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 ± </w:t>
      </w:r>
      <w:r w:rsidR="001973A6">
        <w:rPr>
          <w:rFonts w:asciiTheme="minorHAnsi" w:hAnsiTheme="minorHAnsi" w:cstheme="minorHAnsi"/>
          <w:szCs w:val="22"/>
          <w:lang w:val="fr-FR"/>
        </w:rPr>
        <w:t>20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0 MPa à 35 ± 5 MPa lorsque la formulation passe </w:t>
      </w:r>
      <w:r w:rsidR="00034C1C">
        <w:rPr>
          <w:rFonts w:asciiTheme="minorHAnsi" w:hAnsiTheme="minorHAnsi" w:cstheme="minorHAnsi"/>
          <w:szCs w:val="22"/>
          <w:lang w:val="fr-FR"/>
        </w:rPr>
        <w:t>de</w:t>
      </w:r>
      <w:r w:rsidRPr="000D1923">
        <w:rPr>
          <w:rFonts w:asciiTheme="minorHAnsi" w:hAnsiTheme="minorHAnsi" w:cstheme="minorHAnsi"/>
          <w:szCs w:val="22"/>
          <w:lang w:val="fr-FR"/>
        </w:rPr>
        <w:t xml:space="preserve"> 0%</w:t>
      </w:r>
      <w:r w:rsidR="00034C1C" w:rsidRPr="00034C1C">
        <w:rPr>
          <w:rFonts w:asciiTheme="minorHAnsi" w:hAnsiTheme="minorHAnsi" w:cstheme="minorHAnsi"/>
          <w:szCs w:val="22"/>
          <w:lang w:val="fr-FR"/>
        </w:rPr>
        <w:t xml:space="preserve"> </w:t>
      </w:r>
      <w:r w:rsidRPr="000D1923">
        <w:rPr>
          <w:rFonts w:asciiTheme="minorHAnsi" w:hAnsiTheme="minorHAnsi" w:cstheme="minorHAnsi"/>
          <w:szCs w:val="22"/>
          <w:lang w:val="fr-FR"/>
        </w:rPr>
        <w:t>à  20% (v/v) de PEG ajoutés. Au-delà de cette teneur en PEG, le module de Young diminue beaucoup plus lentement et le polymère n’est plus totalement stable car le taux de réticulation devient trop faible.</w:t>
      </w:r>
    </w:p>
    <w:p w:rsidR="001973A6" w:rsidRDefault="007D0C10" w:rsidP="002C1D16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before="120"/>
        <w:rPr>
          <w:rFonts w:asciiTheme="minorHAnsi" w:hAnsiTheme="minorHAnsi" w:cstheme="minorHAnsi"/>
          <w:szCs w:val="22"/>
          <w:lang w:val="fr-BE"/>
        </w:rPr>
      </w:pPr>
      <w:r>
        <w:rPr>
          <w:rFonts w:asciiTheme="minorHAnsi" w:hAnsiTheme="minorHAnsi" w:cstheme="minorHAnsi"/>
          <w:szCs w:val="22"/>
          <w:lang w:val="fr-BE"/>
        </w:rPr>
        <w:t xml:space="preserve">Après imprégnation de la préforme par le polymère, </w:t>
      </w:r>
      <w:r w:rsidRPr="000D1923">
        <w:rPr>
          <w:rFonts w:asciiTheme="minorHAnsi" w:hAnsiTheme="minorHAnsi" w:cstheme="minorHAnsi"/>
          <w:szCs w:val="22"/>
          <w:lang w:val="fr-BE"/>
        </w:rPr>
        <w:t>la valeur du d</w:t>
      </w:r>
      <w:r w:rsidRPr="000D1923">
        <w:rPr>
          <w:rFonts w:asciiTheme="minorHAnsi" w:hAnsiTheme="minorHAnsi" w:cstheme="minorHAnsi"/>
          <w:szCs w:val="22"/>
          <w:vertAlign w:val="subscript"/>
          <w:lang w:val="fr-BE"/>
        </w:rPr>
        <w:t>33</w:t>
      </w:r>
      <w:r w:rsidRPr="000D1923">
        <w:rPr>
          <w:rFonts w:asciiTheme="minorHAnsi" w:hAnsiTheme="minorHAnsi" w:cstheme="minorHAnsi"/>
          <w:szCs w:val="22"/>
          <w:lang w:val="fr-BE"/>
        </w:rPr>
        <w:t xml:space="preserve"> </w:t>
      </w:r>
      <w:r>
        <w:rPr>
          <w:rFonts w:asciiTheme="minorHAnsi" w:hAnsiTheme="minorHAnsi" w:cstheme="minorHAnsi"/>
          <w:szCs w:val="22"/>
          <w:lang w:val="fr-BE"/>
        </w:rPr>
        <w:t>du composite diminue</w:t>
      </w:r>
      <w:r w:rsidR="001973A6">
        <w:rPr>
          <w:rFonts w:asciiTheme="minorHAnsi" w:hAnsiTheme="minorHAnsi" w:cstheme="minorHAnsi"/>
          <w:szCs w:val="22"/>
          <w:lang w:val="fr-BE"/>
        </w:rPr>
        <w:t xml:space="preserve"> d’autant plus</w:t>
      </w:r>
      <w:r>
        <w:rPr>
          <w:rFonts w:asciiTheme="minorHAnsi" w:hAnsiTheme="minorHAnsi" w:cstheme="minorHAnsi"/>
          <w:szCs w:val="22"/>
          <w:lang w:val="fr-BE"/>
        </w:rPr>
        <w:t xml:space="preserve"> </w:t>
      </w:r>
      <w:r w:rsidR="001973A6">
        <w:rPr>
          <w:rFonts w:asciiTheme="minorHAnsi" w:hAnsiTheme="minorHAnsi" w:cstheme="minorHAnsi"/>
          <w:szCs w:val="22"/>
          <w:lang w:val="fr-BE"/>
        </w:rPr>
        <w:t>sensiblement que le taux d’imprégnation est élevé</w:t>
      </w:r>
      <w:r>
        <w:rPr>
          <w:rFonts w:asciiTheme="minorHAnsi" w:hAnsiTheme="minorHAnsi" w:cstheme="minorHAnsi"/>
          <w:szCs w:val="22"/>
          <w:lang w:val="fr-BE"/>
        </w:rPr>
        <w:t xml:space="preserve">. </w:t>
      </w:r>
      <w:r w:rsidR="001973A6">
        <w:rPr>
          <w:rFonts w:asciiTheme="minorHAnsi" w:hAnsiTheme="minorHAnsi" w:cstheme="minorHAnsi"/>
          <w:szCs w:val="22"/>
          <w:lang w:val="fr-BE"/>
        </w:rPr>
        <w:t xml:space="preserve">Toutefois, </w:t>
      </w:r>
      <w:r w:rsidR="006E15F4" w:rsidRPr="000D1923">
        <w:rPr>
          <w:rFonts w:asciiTheme="minorHAnsi" w:hAnsiTheme="minorHAnsi" w:cstheme="minorHAnsi"/>
          <w:szCs w:val="22"/>
          <w:lang w:val="fr-BE"/>
        </w:rPr>
        <w:t>la valeur du d</w:t>
      </w:r>
      <w:r w:rsidR="006E15F4" w:rsidRPr="000D1923">
        <w:rPr>
          <w:rFonts w:asciiTheme="minorHAnsi" w:hAnsiTheme="minorHAnsi" w:cstheme="minorHAnsi"/>
          <w:szCs w:val="22"/>
          <w:vertAlign w:val="subscript"/>
          <w:lang w:val="fr-BE"/>
        </w:rPr>
        <w:t>33</w:t>
      </w:r>
      <w:r w:rsidR="006E15F4" w:rsidRPr="000D1923">
        <w:rPr>
          <w:rFonts w:asciiTheme="minorHAnsi" w:hAnsiTheme="minorHAnsi" w:cstheme="minorHAnsi"/>
          <w:szCs w:val="22"/>
          <w:lang w:val="fr-BE"/>
        </w:rPr>
        <w:t xml:space="preserve"> </w:t>
      </w:r>
      <w:r>
        <w:rPr>
          <w:rFonts w:asciiTheme="minorHAnsi" w:hAnsiTheme="minorHAnsi" w:cstheme="minorHAnsi"/>
          <w:szCs w:val="22"/>
          <w:lang w:val="fr-BE"/>
        </w:rPr>
        <w:t xml:space="preserve">du composite </w:t>
      </w:r>
      <w:r w:rsidR="006E15F4" w:rsidRPr="000D1923">
        <w:rPr>
          <w:rFonts w:asciiTheme="minorHAnsi" w:hAnsiTheme="minorHAnsi" w:cstheme="minorHAnsi"/>
          <w:szCs w:val="22"/>
          <w:lang w:val="fr-BE"/>
        </w:rPr>
        <w:t>augmente lorsque la teneur en PEG évolue de 0 à 20% (v/v)</w:t>
      </w:r>
      <w:r w:rsidR="002C1D16">
        <w:rPr>
          <w:rFonts w:asciiTheme="minorHAnsi" w:hAnsiTheme="minorHAnsi" w:cstheme="minorHAnsi"/>
          <w:szCs w:val="22"/>
          <w:lang w:val="fr-BE"/>
        </w:rPr>
        <w:t> :</w:t>
      </w:r>
      <w:r w:rsidR="001973A6" w:rsidRPr="001973A6">
        <w:rPr>
          <w:rFonts w:asciiTheme="minorHAnsi" w:hAnsiTheme="minorHAnsi" w:cstheme="minorHAnsi"/>
          <w:szCs w:val="22"/>
          <w:lang w:val="fr-BE"/>
        </w:rPr>
        <w:t xml:space="preserve"> </w:t>
      </w:r>
      <w:r w:rsidR="001973A6" w:rsidRPr="000D1923">
        <w:rPr>
          <w:rFonts w:asciiTheme="minorHAnsi" w:hAnsiTheme="minorHAnsi" w:cstheme="minorHAnsi"/>
          <w:szCs w:val="22"/>
          <w:lang w:val="fr-BE"/>
        </w:rPr>
        <w:t>Plus la teneur en PEG est élevée moins le polymère est rigide, et donc, moins ce dernier limite la vibration mécanique de la céramique piézoélectrique</w:t>
      </w:r>
      <w:r w:rsidR="001973A6">
        <w:rPr>
          <w:rFonts w:asciiTheme="minorHAnsi" w:hAnsiTheme="minorHAnsi" w:cstheme="minorHAnsi"/>
          <w:szCs w:val="22"/>
          <w:lang w:val="fr-BE"/>
        </w:rPr>
        <w:t>. Ainsi, à taux d’imprégnation maximal (proche de 100%), u</w:t>
      </w:r>
      <w:r w:rsidR="006E15F4" w:rsidRPr="000D1923">
        <w:rPr>
          <w:rFonts w:asciiTheme="minorHAnsi" w:hAnsiTheme="minorHAnsi" w:cstheme="minorHAnsi"/>
          <w:szCs w:val="22"/>
          <w:lang w:val="fr-BE"/>
        </w:rPr>
        <w:t>ne valeur de d</w:t>
      </w:r>
      <w:r w:rsidR="006E15F4" w:rsidRPr="000D1923">
        <w:rPr>
          <w:rFonts w:asciiTheme="minorHAnsi" w:hAnsiTheme="minorHAnsi" w:cstheme="minorHAnsi"/>
          <w:szCs w:val="22"/>
          <w:vertAlign w:val="subscript"/>
          <w:lang w:val="fr-BE"/>
        </w:rPr>
        <w:t>33</w:t>
      </w:r>
      <w:r w:rsidR="006E15F4" w:rsidRPr="000D1923">
        <w:rPr>
          <w:rFonts w:asciiTheme="minorHAnsi" w:hAnsiTheme="minorHAnsi" w:cstheme="minorHAnsi"/>
          <w:szCs w:val="22"/>
          <w:lang w:val="fr-BE"/>
        </w:rPr>
        <w:t xml:space="preserve"> de 60 </w:t>
      </w:r>
      <w:proofErr w:type="spellStart"/>
      <w:r w:rsidR="006E15F4" w:rsidRPr="000D1923">
        <w:rPr>
          <w:rFonts w:asciiTheme="minorHAnsi" w:hAnsiTheme="minorHAnsi" w:cstheme="minorHAnsi"/>
          <w:szCs w:val="22"/>
          <w:lang w:val="fr-BE"/>
        </w:rPr>
        <w:t>pC</w:t>
      </w:r>
      <w:proofErr w:type="spellEnd"/>
      <w:r w:rsidR="006E15F4" w:rsidRPr="000D1923">
        <w:rPr>
          <w:rFonts w:asciiTheme="minorHAnsi" w:hAnsiTheme="minorHAnsi" w:cstheme="minorHAnsi"/>
          <w:szCs w:val="22"/>
          <w:lang w:val="fr-BE"/>
        </w:rPr>
        <w:t>/</w:t>
      </w:r>
      <w:proofErr w:type="gramStart"/>
      <w:r w:rsidR="006E15F4" w:rsidRPr="000D1923">
        <w:rPr>
          <w:rFonts w:asciiTheme="minorHAnsi" w:hAnsiTheme="minorHAnsi" w:cstheme="minorHAnsi"/>
          <w:szCs w:val="22"/>
          <w:lang w:val="fr-BE"/>
        </w:rPr>
        <w:t>N a</w:t>
      </w:r>
      <w:proofErr w:type="gramEnd"/>
      <w:r w:rsidR="006E15F4" w:rsidRPr="000D1923">
        <w:rPr>
          <w:rFonts w:asciiTheme="minorHAnsi" w:hAnsiTheme="minorHAnsi" w:cstheme="minorHAnsi"/>
          <w:szCs w:val="22"/>
          <w:lang w:val="fr-BE"/>
        </w:rPr>
        <w:t xml:space="preserve"> pu être mesurée pour la plus haute teneur en PEG. </w:t>
      </w:r>
    </w:p>
    <w:p w:rsidR="006E15F4" w:rsidRPr="000D1923" w:rsidRDefault="006E15F4" w:rsidP="002C1D16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before="120"/>
        <w:rPr>
          <w:rFonts w:asciiTheme="minorHAnsi" w:hAnsiTheme="minorHAnsi" w:cstheme="minorHAnsi"/>
          <w:szCs w:val="22"/>
          <w:lang w:val="fr-BE"/>
        </w:rPr>
      </w:pPr>
      <w:r w:rsidRPr="000D1923">
        <w:rPr>
          <w:rFonts w:asciiTheme="minorHAnsi" w:hAnsiTheme="minorHAnsi" w:cstheme="minorHAnsi"/>
          <w:szCs w:val="22"/>
          <w:lang w:val="fr-BE"/>
        </w:rPr>
        <w:t>Les essais de flexion 3 points ont montré</w:t>
      </w:r>
      <w:bookmarkStart w:id="0" w:name="_GoBack"/>
      <w:bookmarkEnd w:id="0"/>
      <w:r w:rsidRPr="000D1923">
        <w:rPr>
          <w:rFonts w:asciiTheme="minorHAnsi" w:hAnsiTheme="minorHAnsi" w:cstheme="minorHAnsi"/>
          <w:szCs w:val="22"/>
          <w:lang w:val="fr-BE"/>
        </w:rPr>
        <w:t xml:space="preserve"> qu’une déformation relative à la rupture supérieure à 2% peut être atteinte pour un composite caractérisé par un taux imprégnation maximal de polymère à 20% (v/v) de PEG. Pour ce composite le module de flexion est d’environ 900 MPa. Des essais cycliques de flexion 3 points ont permis de démontrer que la valeur du d</w:t>
      </w:r>
      <w:r w:rsidRPr="000D1923">
        <w:rPr>
          <w:rFonts w:asciiTheme="minorHAnsi" w:hAnsiTheme="minorHAnsi" w:cstheme="minorHAnsi"/>
          <w:szCs w:val="22"/>
          <w:vertAlign w:val="subscript"/>
          <w:lang w:val="fr-BE"/>
        </w:rPr>
        <w:t>33</w:t>
      </w:r>
      <w:r w:rsidRPr="000D1923">
        <w:rPr>
          <w:rFonts w:asciiTheme="minorHAnsi" w:hAnsiTheme="minorHAnsi" w:cstheme="minorHAnsi"/>
          <w:szCs w:val="22"/>
          <w:lang w:val="fr-BE"/>
        </w:rPr>
        <w:t xml:space="preserve"> du composite ne se dégradait pas suite une succession de déformations de celui-ci. 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BE17A7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BE"/>
        </w:rPr>
      </w:pPr>
    </w:p>
    <w:sectPr w:rsidR="000D0F98" w:rsidRPr="00BE17A7" w:rsidSect="00D31ABA">
      <w:headerReference w:type="default" r:id="rId7"/>
      <w:type w:val="continuous"/>
      <w:pgSz w:w="11906" w:h="16838" w:code="9"/>
      <w:pgMar w:top="851" w:right="1134" w:bottom="851" w:left="1134" w:header="709" w:footer="709" w:gutter="0"/>
      <w:cols w:space="709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D59" w:rsidRDefault="00970D59">
      <w:r>
        <w:separator/>
      </w:r>
    </w:p>
  </w:endnote>
  <w:endnote w:type="continuationSeparator" w:id="0">
    <w:p w:rsidR="00970D59" w:rsidRDefault="0097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D59" w:rsidRDefault="00970D59">
      <w:r>
        <w:separator/>
      </w:r>
    </w:p>
  </w:footnote>
  <w:footnote w:type="continuationSeparator" w:id="0">
    <w:p w:rsidR="00970D59" w:rsidRDefault="0097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98" w:rsidRPr="00CC3C50" w:rsidRDefault="003731B2" w:rsidP="007F32F9">
    <w:pPr>
      <w:pStyle w:val="En-tte"/>
      <w:jc w:val="center"/>
      <w:rPr>
        <w:rFonts w:asciiTheme="minorHAnsi" w:hAnsiTheme="minorHAnsi" w:cstheme="minorHAnsi"/>
        <w:i/>
      </w:rPr>
    </w:pPr>
    <w:r w:rsidRPr="00CC3C50">
      <w:rPr>
        <w:rFonts w:asciiTheme="minorHAnsi" w:hAnsiTheme="minorHAnsi" w:cstheme="minorHAnsi"/>
        <w:i/>
      </w:rPr>
      <w:t xml:space="preserve">GFC </w:t>
    </w:r>
    <w:r w:rsidR="00167A38" w:rsidRPr="00CC3C50">
      <w:rPr>
        <w:rFonts w:asciiTheme="minorHAnsi" w:hAnsiTheme="minorHAnsi" w:cstheme="minorHAnsi"/>
        <w:i/>
      </w:rPr>
      <w:t>Journées Annuelles</w:t>
    </w:r>
    <w:r w:rsidR="000D0F98" w:rsidRPr="00CC3C50">
      <w:rPr>
        <w:rFonts w:asciiTheme="minorHAnsi" w:hAnsiTheme="minorHAnsi" w:cstheme="minorHAnsi"/>
        <w:i/>
      </w:rPr>
      <w:t xml:space="preserve"> </w:t>
    </w:r>
    <w:r w:rsidR="00CC3C50" w:rsidRPr="00CC3C50">
      <w:rPr>
        <w:rFonts w:asciiTheme="minorHAnsi" w:hAnsiTheme="minorHAnsi" w:cstheme="minorHAnsi"/>
        <w:i/>
      </w:rPr>
      <w:t>201</w:t>
    </w:r>
    <w:r w:rsidR="00CC3C50">
      <w:rPr>
        <w:rFonts w:asciiTheme="minorHAnsi" w:hAnsiTheme="minorHAnsi" w:cstheme="minorHAnsi"/>
        <w:i/>
      </w:rPr>
      <w:t>9</w:t>
    </w:r>
    <w:r w:rsidR="00CC3C50" w:rsidRPr="00CC3C50">
      <w:rPr>
        <w:rFonts w:asciiTheme="minorHAnsi" w:hAnsiTheme="minorHAnsi" w:cstheme="minorHAnsi"/>
        <w:i/>
      </w:rPr>
      <w:t xml:space="preserve"> -</w:t>
    </w:r>
    <w:r w:rsidR="00D55EE4" w:rsidRPr="00CC3C50">
      <w:rPr>
        <w:rFonts w:asciiTheme="minorHAnsi" w:hAnsiTheme="minorHAnsi" w:cstheme="minorHAnsi"/>
        <w:i/>
      </w:rPr>
      <w:t xml:space="preserve">  </w:t>
    </w:r>
    <w:r w:rsidR="00CC3C50" w:rsidRPr="00CC3C50">
      <w:rPr>
        <w:rFonts w:asciiTheme="minorHAnsi" w:hAnsiTheme="minorHAnsi" w:cstheme="minorHAnsi"/>
        <w:i/>
      </w:rPr>
      <w:t>12</w:t>
    </w:r>
    <w:r w:rsidR="00CC3C50">
      <w:rPr>
        <w:rFonts w:asciiTheme="minorHAnsi" w:hAnsiTheme="minorHAnsi" w:cstheme="minorHAnsi"/>
        <w:i/>
      </w:rPr>
      <w:t>-</w:t>
    </w:r>
    <w:r w:rsidR="00CC3C50" w:rsidRPr="00CC3C50">
      <w:rPr>
        <w:rFonts w:asciiTheme="minorHAnsi" w:hAnsiTheme="minorHAnsi" w:cstheme="minorHAnsi"/>
        <w:i/>
      </w:rPr>
      <w:t>14</w:t>
    </w:r>
    <w:r w:rsidR="00695405" w:rsidRPr="00CC3C50">
      <w:rPr>
        <w:rFonts w:asciiTheme="minorHAnsi" w:hAnsiTheme="minorHAnsi" w:cstheme="minorHAnsi"/>
        <w:i/>
      </w:rPr>
      <w:t xml:space="preserve"> </w:t>
    </w:r>
    <w:r w:rsidR="00DA115C" w:rsidRPr="00CC3C50">
      <w:rPr>
        <w:rFonts w:asciiTheme="minorHAnsi" w:hAnsiTheme="minorHAnsi" w:cstheme="minorHAnsi"/>
        <w:i/>
      </w:rPr>
      <w:t>mars 201</w:t>
    </w:r>
    <w:r w:rsidR="00CC3C50" w:rsidRPr="00CC3C50">
      <w:rPr>
        <w:rFonts w:asciiTheme="minorHAnsi" w:hAnsiTheme="minorHAnsi" w:cstheme="minorHAnsi"/>
        <w:i/>
      </w:rPr>
      <w:t>8</w:t>
    </w:r>
    <w:r w:rsidR="00CC3C50">
      <w:rPr>
        <w:rFonts w:asciiTheme="minorHAnsi" w:hAnsiTheme="minorHAnsi" w:cstheme="minorHAnsi"/>
        <w:i/>
      </w:rPr>
      <w:t xml:space="preserve"> - Montpellier</w:t>
    </w:r>
  </w:p>
  <w:p w:rsidR="00CC3C50" w:rsidRDefault="00CC3C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53AF"/>
    <w:multiLevelType w:val="multilevel"/>
    <w:tmpl w:val="62C6C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7C68084B"/>
    <w:multiLevelType w:val="hybridMultilevel"/>
    <w:tmpl w:val="9E5A4D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9F"/>
    <w:rsid w:val="00034C1C"/>
    <w:rsid w:val="000D0F98"/>
    <w:rsid w:val="000D1923"/>
    <w:rsid w:val="00167A38"/>
    <w:rsid w:val="001973A6"/>
    <w:rsid w:val="001B5A55"/>
    <w:rsid w:val="001F42A5"/>
    <w:rsid w:val="00203340"/>
    <w:rsid w:val="002C1D16"/>
    <w:rsid w:val="003731B2"/>
    <w:rsid w:val="003B64E2"/>
    <w:rsid w:val="003C095F"/>
    <w:rsid w:val="004D3FC7"/>
    <w:rsid w:val="004D42C9"/>
    <w:rsid w:val="004F7820"/>
    <w:rsid w:val="00554CE3"/>
    <w:rsid w:val="005A5614"/>
    <w:rsid w:val="005F00EC"/>
    <w:rsid w:val="006440A8"/>
    <w:rsid w:val="00695405"/>
    <w:rsid w:val="006C5AF8"/>
    <w:rsid w:val="006E15F4"/>
    <w:rsid w:val="006E2860"/>
    <w:rsid w:val="0075016A"/>
    <w:rsid w:val="007904AC"/>
    <w:rsid w:val="007B713F"/>
    <w:rsid w:val="007D0C10"/>
    <w:rsid w:val="007F32F9"/>
    <w:rsid w:val="007F6EAF"/>
    <w:rsid w:val="0087042C"/>
    <w:rsid w:val="008B302B"/>
    <w:rsid w:val="008C7A9F"/>
    <w:rsid w:val="00944C62"/>
    <w:rsid w:val="009648DE"/>
    <w:rsid w:val="00970D59"/>
    <w:rsid w:val="00A97CCD"/>
    <w:rsid w:val="00AF6399"/>
    <w:rsid w:val="00BE17A7"/>
    <w:rsid w:val="00C759A1"/>
    <w:rsid w:val="00CC35EA"/>
    <w:rsid w:val="00CC3C50"/>
    <w:rsid w:val="00D31ABA"/>
    <w:rsid w:val="00D55EE4"/>
    <w:rsid w:val="00DA115C"/>
    <w:rsid w:val="00DD5127"/>
    <w:rsid w:val="00EB6094"/>
    <w:rsid w:val="00ED4A8B"/>
    <w:rsid w:val="00F25B5F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4A0F7"/>
  <w15:docId w15:val="{173A27FC-C543-4D0E-9E0F-C0A1A500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outlineLvl w:val="0"/>
    </w:pPr>
    <w:rPr>
      <w:b/>
      <w:bCs/>
      <w:sz w:val="22"/>
      <w:lang w:val="en-GB"/>
    </w:rPr>
  </w:style>
  <w:style w:type="paragraph" w:styleId="Titre2">
    <w:name w:val="heading 2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both"/>
      <w:outlineLvl w:val="1"/>
    </w:pPr>
    <w:rPr>
      <w:i/>
      <w:iCs/>
      <w:sz w:val="20"/>
      <w:lang w:val="en-GB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Cs w:val="20"/>
      <w:lang w:val="en-GB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rPr>
      <w:b/>
      <w:bCs/>
      <w:sz w:val="22"/>
      <w:lang w:val="en-GB"/>
    </w:rPr>
  </w:style>
  <w:style w:type="paragraph" w:styleId="Corpsdetexte3">
    <w:name w:val="Body Text 3"/>
    <w:basedOn w:val="Normal"/>
    <w:semiHidden/>
    <w:pPr>
      <w:jc w:val="both"/>
    </w:pPr>
    <w:rPr>
      <w:sz w:val="22"/>
      <w:szCs w:val="20"/>
      <w:lang w:val="en-GB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sz w:val="20"/>
    </w:rPr>
  </w:style>
  <w:style w:type="paragraph" w:styleId="Retraitcorpsdetexte">
    <w:name w:val="Body Text Indent"/>
    <w:basedOn w:val="Normal"/>
    <w:semiHidden/>
    <w:pPr>
      <w:ind w:firstLine="709"/>
    </w:pPr>
    <w:rPr>
      <w:szCs w:val="20"/>
      <w:lang w:val="en-GB"/>
    </w:rPr>
  </w:style>
  <w:style w:type="paragraph" w:styleId="Corpsdetexte2">
    <w:name w:val="Body Text 2"/>
    <w:basedOn w:val="Normal"/>
    <w:semiHidden/>
    <w:pPr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jc w:val="both"/>
    </w:pPr>
    <w:rPr>
      <w:color w:val="000000"/>
      <w:sz w:val="18"/>
      <w:lang w:val="en-GB"/>
    </w:rPr>
  </w:style>
  <w:style w:type="paragraph" w:styleId="Sous-titre">
    <w:name w:val="Subtitle"/>
    <w:basedOn w:val="Normal"/>
    <w:qFormat/>
    <w:pPr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center"/>
    </w:pPr>
    <w:rPr>
      <w:b/>
      <w:bCs/>
      <w:sz w:val="28"/>
      <w:lang w:val="en-GB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Reserved to organizers</vt:lpstr>
    </vt:vector>
  </TitlesOfParts>
  <Company>sms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Reserved to organizers</dc:title>
  <dc:creator>VALDIVIESO</dc:creator>
  <cp:lastModifiedBy>Maurice François GONON</cp:lastModifiedBy>
  <cp:revision>8</cp:revision>
  <cp:lastPrinted>2009-10-05T06:04:00Z</cp:lastPrinted>
  <dcterms:created xsi:type="dcterms:W3CDTF">2019-01-21T08:33:00Z</dcterms:created>
  <dcterms:modified xsi:type="dcterms:W3CDTF">2019-01-21T09:46:00Z</dcterms:modified>
</cp:coreProperties>
</file>