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B8AAB" w14:textId="77777777" w:rsidR="00741F7A" w:rsidRDefault="00741F7A" w:rsidP="00CF38D3">
      <w:pPr>
        <w:pStyle w:val="Default"/>
        <w:spacing w:after="24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Activités anthelminthiques et étude du mécanisme d’action des compos</w:t>
      </w:r>
      <w:r w:rsidR="00B91235">
        <w:rPr>
          <w:b/>
          <w:bCs/>
          <w:sz w:val="32"/>
          <w:szCs w:val="32"/>
        </w:rPr>
        <w:t>é</w:t>
      </w:r>
      <w:r>
        <w:rPr>
          <w:b/>
          <w:bCs/>
          <w:sz w:val="32"/>
          <w:szCs w:val="32"/>
        </w:rPr>
        <w:t xml:space="preserve">s </w:t>
      </w:r>
      <w:r w:rsidR="00B91235">
        <w:rPr>
          <w:b/>
          <w:bCs/>
          <w:sz w:val="32"/>
          <w:szCs w:val="32"/>
        </w:rPr>
        <w:t xml:space="preserve">chimiques </w:t>
      </w:r>
      <w:r>
        <w:rPr>
          <w:b/>
          <w:bCs/>
          <w:sz w:val="32"/>
          <w:szCs w:val="32"/>
        </w:rPr>
        <w:t>d</w:t>
      </w:r>
      <w:r w:rsidR="00B91235">
        <w:rPr>
          <w:b/>
          <w:bCs/>
          <w:sz w:val="32"/>
          <w:szCs w:val="32"/>
        </w:rPr>
        <w:t>e 5 espèces palmatilobées couramment utilisées en médecine traditionnelle Congolaise</w:t>
      </w:r>
      <w:r>
        <w:rPr>
          <w:b/>
          <w:bCs/>
          <w:i/>
          <w:iCs/>
          <w:sz w:val="32"/>
          <w:szCs w:val="32"/>
        </w:rPr>
        <w:t xml:space="preserve"> </w:t>
      </w:r>
    </w:p>
    <w:p w14:paraId="104389E8" w14:textId="77777777" w:rsidR="00741F7A" w:rsidRDefault="00741F7A" w:rsidP="00CF38D3">
      <w:pPr>
        <w:pStyle w:val="Default"/>
        <w:spacing w:after="240"/>
        <w:rPr>
          <w:sz w:val="14"/>
          <w:szCs w:val="1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Nzuzi Mavungu Gaël</w:t>
      </w:r>
      <w:r w:rsidRPr="00CF38D3">
        <w:rPr>
          <w:rFonts w:ascii="Times New Roman" w:hAnsi="Times New Roman" w:cs="Times New Roman"/>
          <w:b/>
          <w:bCs/>
          <w:vertAlign w:val="superscript"/>
        </w:rPr>
        <w:t>1</w:t>
      </w:r>
      <w:proofErr w:type="gramStart"/>
      <w:r>
        <w:rPr>
          <w:rFonts w:ascii="Times New Roman" w:hAnsi="Times New Roman" w:cs="Times New Roman"/>
          <w:b/>
          <w:bCs/>
          <w:sz w:val="14"/>
          <w:szCs w:val="14"/>
        </w:rPr>
        <w:t xml:space="preserve">* </w:t>
      </w:r>
      <w:r>
        <w:rPr>
          <w:rFonts w:ascii="Times New Roman" w:hAnsi="Times New Roman" w:cs="Times New Roman"/>
          <w:sz w:val="22"/>
          <w:szCs w:val="22"/>
        </w:rPr>
        <w:t>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Okombe </w:t>
      </w:r>
      <w:proofErr w:type="spellStart"/>
      <w:r>
        <w:rPr>
          <w:rFonts w:ascii="Times New Roman" w:hAnsi="Times New Roman" w:cs="Times New Roman"/>
          <w:sz w:val="22"/>
          <w:szCs w:val="22"/>
        </w:rPr>
        <w:t>Embeya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Victor</w:t>
      </w:r>
      <w:r w:rsidRPr="00CF38D3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>, Sandrine Vandenput</w:t>
      </w:r>
      <w:r w:rsidRPr="00CF38D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>, Duez Pierre</w:t>
      </w:r>
      <w:r w:rsidRPr="00CF38D3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0A0E3D36" w14:textId="77777777" w:rsidR="00741F7A" w:rsidRPr="00CF38D3" w:rsidRDefault="00741F7A" w:rsidP="00741F7A">
      <w:pPr>
        <w:pStyle w:val="Default"/>
        <w:rPr>
          <w:sz w:val="20"/>
          <w:szCs w:val="20"/>
        </w:rPr>
      </w:pPr>
      <w:r w:rsidRPr="00CF38D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F38D3">
        <w:rPr>
          <w:rFonts w:ascii="Times New Roman" w:hAnsi="Times New Roman" w:cs="Times New Roman"/>
          <w:sz w:val="20"/>
          <w:szCs w:val="20"/>
        </w:rPr>
        <w:t xml:space="preserve">Service de Pharmacologie, Thérapeutique et Toxicologie, Faculté de Médecine Vétérinaire, Université de Lubumbashi (UNILU). 250, Av. Likasi, Commune de Lubumbashi, Lubumbashi-RD Congo. </w:t>
      </w:r>
    </w:p>
    <w:p w14:paraId="5F4EEF5F" w14:textId="77777777" w:rsidR="00741F7A" w:rsidRPr="00CF38D3" w:rsidRDefault="00741F7A" w:rsidP="00741F7A">
      <w:pPr>
        <w:pStyle w:val="Default"/>
        <w:rPr>
          <w:sz w:val="20"/>
          <w:szCs w:val="20"/>
        </w:rPr>
      </w:pPr>
      <w:r w:rsidRPr="00CF38D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F38D3">
        <w:rPr>
          <w:rFonts w:ascii="Times New Roman" w:hAnsi="Times New Roman" w:cs="Times New Roman"/>
          <w:sz w:val="20"/>
          <w:szCs w:val="20"/>
        </w:rPr>
        <w:t>Life Sciences Library, Université de Liège (</w:t>
      </w:r>
      <w:proofErr w:type="spellStart"/>
      <w:r w:rsidRPr="00CF38D3">
        <w:rPr>
          <w:rFonts w:ascii="Times New Roman" w:hAnsi="Times New Roman" w:cs="Times New Roman"/>
          <w:sz w:val="20"/>
          <w:szCs w:val="20"/>
        </w:rPr>
        <w:t>ULiège</w:t>
      </w:r>
      <w:proofErr w:type="spellEnd"/>
      <w:r w:rsidRPr="00CF38D3">
        <w:rPr>
          <w:rFonts w:ascii="Times New Roman" w:hAnsi="Times New Roman" w:cs="Times New Roman"/>
          <w:sz w:val="20"/>
          <w:szCs w:val="20"/>
        </w:rPr>
        <w:t xml:space="preserve">), Avenue de l’Hôpital, 1, Bât B35, 4000 Liège, Belgique. </w:t>
      </w:r>
    </w:p>
    <w:p w14:paraId="7241F689" w14:textId="77777777" w:rsidR="00741F7A" w:rsidRPr="00CF38D3" w:rsidRDefault="00741F7A" w:rsidP="00CF38D3">
      <w:pPr>
        <w:pStyle w:val="Default"/>
        <w:spacing w:after="240"/>
        <w:rPr>
          <w:rFonts w:ascii="Times New Roman" w:hAnsi="Times New Roman" w:cs="Times New Roman"/>
          <w:sz w:val="20"/>
          <w:szCs w:val="20"/>
        </w:rPr>
      </w:pPr>
      <w:r w:rsidRPr="00CF38D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F38D3">
        <w:rPr>
          <w:rFonts w:ascii="Times New Roman" w:hAnsi="Times New Roman" w:cs="Times New Roman"/>
          <w:sz w:val="20"/>
          <w:szCs w:val="20"/>
        </w:rPr>
        <w:t xml:space="preserve">Service de Chimie Thérapeutique et de Pharmacognosie, Université de Mons (UMONS), Bât. 6 25 Chemin du Champ de Mars, 7000 Mons, Belgique. </w:t>
      </w:r>
    </w:p>
    <w:p w14:paraId="679BDC9B" w14:textId="77777777" w:rsidR="00741F7A" w:rsidRDefault="00741F7A" w:rsidP="00CF38D3">
      <w:pPr>
        <w:pStyle w:val="Default"/>
        <w:spacing w:after="240"/>
        <w:rPr>
          <w:rFonts w:ascii="Monotype Corsiva" w:hAnsi="Monotype Corsiva" w:cs="Monotype Corsiva"/>
          <w:sz w:val="20"/>
          <w:szCs w:val="20"/>
        </w:rPr>
      </w:pPr>
      <w:r>
        <w:rPr>
          <w:rFonts w:ascii="Monotype Corsiva" w:hAnsi="Monotype Corsiva" w:cs="Monotype Corsiva"/>
          <w:i/>
          <w:iCs/>
          <w:sz w:val="20"/>
          <w:szCs w:val="20"/>
        </w:rPr>
        <w:t xml:space="preserve">*Auteur correspondant : Nzuzi Mavungu Gaël ; +243 810887004 ; mavungug@unilu.ac.cd </w:t>
      </w:r>
    </w:p>
    <w:p w14:paraId="616B0371" w14:textId="77777777" w:rsidR="00741F7A" w:rsidRPr="00CF38D3" w:rsidRDefault="00741F7A" w:rsidP="00CF38D3">
      <w:pPr>
        <w:pStyle w:val="Default"/>
        <w:spacing w:after="240"/>
        <w:rPr>
          <w:sz w:val="28"/>
          <w:szCs w:val="28"/>
        </w:rPr>
      </w:pPr>
      <w:r w:rsidRPr="00CF38D3">
        <w:rPr>
          <w:rFonts w:ascii="Times New Roman" w:hAnsi="Times New Roman" w:cs="Times New Roman"/>
          <w:b/>
          <w:bCs/>
          <w:sz w:val="28"/>
          <w:szCs w:val="28"/>
        </w:rPr>
        <w:t xml:space="preserve">Abstract </w:t>
      </w:r>
    </w:p>
    <w:p w14:paraId="2067EBE7" w14:textId="1B44EFDB" w:rsidR="00741F7A" w:rsidRDefault="00741F7A" w:rsidP="0070780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 parasitisme gastro-intestinal continue à être l’une des affections les plus courantes chez les animaux d’élevage</w:t>
      </w:r>
      <w:r w:rsidRPr="00CF38D3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sz w:val="23"/>
          <w:szCs w:val="23"/>
        </w:rPr>
        <w:t>. La résistance aux anthelminthiques couramment utilisés a été depuis plusieurs années l’objet de nombreuses études dans le domaine vétérinaire</w:t>
      </w:r>
      <w:r w:rsidRPr="00CF38D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sz w:val="23"/>
          <w:szCs w:val="23"/>
        </w:rPr>
        <w:t>. Les molécules anthelminthiques issues des plants médicinales pourraient être candidates pour la fabrication des bons médicaments anthelminthiques</w:t>
      </w:r>
      <w:r w:rsidRPr="00CF38D3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sz w:val="23"/>
          <w:szCs w:val="23"/>
        </w:rPr>
        <w:t>. Cependant, les composés anthelminthiques présents dans la plupart de ces plantes médicinales n'ont pas encore été identifiés</w:t>
      </w:r>
      <w:r w:rsidRPr="00CF38D3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  <w:sz w:val="23"/>
          <w:szCs w:val="23"/>
        </w:rPr>
        <w:t xml:space="preserve">. Ce projet d’étude se fixe pour objectif de </w:t>
      </w:r>
      <w:r w:rsidR="008455EA" w:rsidRPr="008455EA">
        <w:rPr>
          <w:rFonts w:ascii="Times New Roman" w:hAnsi="Times New Roman" w:cs="Times New Roman"/>
          <w:sz w:val="23"/>
          <w:szCs w:val="23"/>
        </w:rPr>
        <w:t>contribu</w:t>
      </w:r>
      <w:r w:rsidR="00F728CB">
        <w:rPr>
          <w:rFonts w:ascii="Times New Roman" w:hAnsi="Times New Roman" w:cs="Times New Roman"/>
          <w:sz w:val="23"/>
          <w:szCs w:val="23"/>
        </w:rPr>
        <w:t>er</w:t>
      </w:r>
      <w:r w:rsidR="008455EA" w:rsidRPr="008455EA">
        <w:rPr>
          <w:rFonts w:ascii="Times New Roman" w:hAnsi="Times New Roman" w:cs="Times New Roman"/>
          <w:sz w:val="23"/>
          <w:szCs w:val="23"/>
        </w:rPr>
        <w:t xml:space="preserve"> à la l’étude et à la découverte des nouveaux médicaments à propriétés </w:t>
      </w:r>
      <w:r w:rsidR="00F728CB">
        <w:rPr>
          <w:rFonts w:ascii="Times New Roman" w:hAnsi="Times New Roman" w:cs="Times New Roman"/>
          <w:sz w:val="23"/>
          <w:szCs w:val="23"/>
        </w:rPr>
        <w:t>anthelminthiques</w:t>
      </w:r>
      <w:r>
        <w:rPr>
          <w:rFonts w:ascii="Times New Roman" w:hAnsi="Times New Roman" w:cs="Times New Roman"/>
          <w:sz w:val="23"/>
          <w:szCs w:val="23"/>
        </w:rPr>
        <w:t xml:space="preserve">. De manière spécifique, ce travail va consister à évaluer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in vitro </w:t>
      </w:r>
      <w:r>
        <w:rPr>
          <w:rFonts w:ascii="Times New Roman" w:hAnsi="Times New Roman" w:cs="Times New Roman"/>
          <w:sz w:val="23"/>
          <w:szCs w:val="23"/>
        </w:rPr>
        <w:t xml:space="preserve">l’activité anthelminthique de cinq espèces </w:t>
      </w:r>
      <w:r w:rsidR="00CF38D3">
        <w:rPr>
          <w:rFonts w:ascii="Times New Roman" w:hAnsi="Times New Roman" w:cs="Times New Roman"/>
          <w:sz w:val="23"/>
          <w:szCs w:val="23"/>
        </w:rPr>
        <w:t>palmatilobées</w:t>
      </w:r>
      <w:r w:rsidR="00F728CB">
        <w:rPr>
          <w:rFonts w:ascii="Times New Roman" w:hAnsi="Times New Roman" w:cs="Times New Roman"/>
          <w:sz w:val="23"/>
          <w:szCs w:val="23"/>
        </w:rPr>
        <w:t xml:space="preserve"> appartenant à la famille de </w:t>
      </w:r>
      <w:proofErr w:type="spellStart"/>
      <w:r w:rsidR="00F728CB" w:rsidRPr="00F728CB">
        <w:rPr>
          <w:rFonts w:ascii="Times New Roman" w:hAnsi="Times New Roman" w:cs="Times New Roman"/>
          <w:sz w:val="23"/>
          <w:szCs w:val="23"/>
        </w:rPr>
        <w:t>Picrodendraceae</w:t>
      </w:r>
      <w:proofErr w:type="spellEnd"/>
      <w:r w:rsidR="00F728CB" w:rsidRPr="00F728C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F728CB">
        <w:rPr>
          <w:rFonts w:ascii="Times New Roman" w:hAnsi="Times New Roman" w:cs="Times New Roman"/>
          <w:sz w:val="23"/>
          <w:szCs w:val="23"/>
        </w:rPr>
        <w:t>[</w:t>
      </w:r>
      <w:proofErr w:type="spellStart"/>
      <w:r w:rsidR="00F728CB" w:rsidRPr="00F728CB">
        <w:rPr>
          <w:rFonts w:ascii="Times New Roman" w:hAnsi="Times New Roman" w:cs="Times New Roman"/>
          <w:i/>
          <w:iCs/>
          <w:sz w:val="23"/>
          <w:szCs w:val="23"/>
        </w:rPr>
        <w:t>Oldfieldia</w:t>
      </w:r>
      <w:proofErr w:type="spellEnd"/>
      <w:r w:rsidR="00F728CB" w:rsidRPr="00F728C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F728CB" w:rsidRPr="00F728CB">
        <w:rPr>
          <w:rFonts w:ascii="Times New Roman" w:hAnsi="Times New Roman" w:cs="Times New Roman"/>
          <w:i/>
          <w:iCs/>
          <w:sz w:val="23"/>
          <w:szCs w:val="23"/>
        </w:rPr>
        <w:t>dactylophylla</w:t>
      </w:r>
      <w:proofErr w:type="spellEnd"/>
      <w:r w:rsidR="00F728CB" w:rsidRPr="00F728CB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F728CB" w:rsidRPr="00F728CB">
        <w:rPr>
          <w:rFonts w:ascii="Times New Roman" w:hAnsi="Times New Roman" w:cs="Times New Roman"/>
          <w:sz w:val="23"/>
          <w:szCs w:val="23"/>
        </w:rPr>
        <w:t>Welw</w:t>
      </w:r>
      <w:proofErr w:type="spellEnd"/>
      <w:r w:rsidR="00F728CB" w:rsidRPr="00F728CB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F728CB" w:rsidRPr="00F728CB">
        <w:rPr>
          <w:rFonts w:ascii="Times New Roman" w:hAnsi="Times New Roman" w:cs="Times New Roman"/>
          <w:sz w:val="23"/>
          <w:szCs w:val="23"/>
        </w:rPr>
        <w:t>ex</w:t>
      </w:r>
      <w:proofErr w:type="gramEnd"/>
      <w:r w:rsidR="00F728CB" w:rsidRPr="00F728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728CB" w:rsidRPr="00F728CB">
        <w:rPr>
          <w:rFonts w:ascii="Times New Roman" w:hAnsi="Times New Roman" w:cs="Times New Roman"/>
          <w:sz w:val="23"/>
          <w:szCs w:val="23"/>
        </w:rPr>
        <w:t>Oliv</w:t>
      </w:r>
      <w:proofErr w:type="spellEnd"/>
      <w:r w:rsidR="00F728CB" w:rsidRPr="00F728CB">
        <w:rPr>
          <w:rFonts w:ascii="Times New Roman" w:hAnsi="Times New Roman" w:cs="Times New Roman"/>
          <w:sz w:val="23"/>
          <w:szCs w:val="23"/>
        </w:rPr>
        <w:t>.)</w:t>
      </w:r>
      <w:r w:rsidR="00F728CB">
        <w:rPr>
          <w:rFonts w:ascii="Times New Roman" w:hAnsi="Times New Roman" w:cs="Times New Roman"/>
          <w:sz w:val="23"/>
          <w:szCs w:val="23"/>
        </w:rPr>
        <w:t>] et de Lamiaceae</w:t>
      </w:r>
      <w:r w:rsidR="00F728C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B91235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Vitex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doniana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Sweet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, Vitex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fischeri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Gürke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Vitex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madiensis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Oliv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et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Vitex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mombassae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Vatke</w:t>
      </w:r>
      <w:proofErr w:type="spellEnd"/>
      <w:r w:rsidR="00B91235">
        <w:rPr>
          <w:rFonts w:ascii="Times New Roman" w:hAnsi="Times New Roman" w:cs="Times New Roman"/>
          <w:sz w:val="23"/>
          <w:szCs w:val="23"/>
        </w:rPr>
        <w:t>)</w:t>
      </w:r>
      <w:r w:rsidR="00CF38D3">
        <w:rPr>
          <w:rFonts w:ascii="Times New Roman" w:hAnsi="Times New Roman" w:cs="Times New Roman"/>
          <w:sz w:val="23"/>
          <w:szCs w:val="23"/>
        </w:rPr>
        <w:t xml:space="preserve"> couramment utilisées par les éleveurs </w:t>
      </w:r>
      <w:r>
        <w:rPr>
          <w:rFonts w:ascii="Times New Roman" w:hAnsi="Times New Roman" w:cs="Times New Roman"/>
          <w:sz w:val="23"/>
          <w:szCs w:val="23"/>
        </w:rPr>
        <w:t>dans le région du Katanga</w:t>
      </w:r>
      <w:r w:rsidR="00B91235">
        <w:rPr>
          <w:rFonts w:ascii="Times New Roman" w:hAnsi="Times New Roman" w:cs="Times New Roman"/>
          <w:sz w:val="23"/>
          <w:szCs w:val="23"/>
        </w:rPr>
        <w:t xml:space="preserve"> pour lutter contre les parasitoses internes chez les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91235">
        <w:rPr>
          <w:rFonts w:ascii="Times New Roman" w:hAnsi="Times New Roman" w:cs="Times New Roman"/>
          <w:sz w:val="23"/>
          <w:szCs w:val="23"/>
        </w:rPr>
        <w:t>caprins </w:t>
      </w:r>
      <w:r>
        <w:rPr>
          <w:rFonts w:ascii="Times New Roman" w:hAnsi="Times New Roman" w:cs="Times New Roman"/>
          <w:sz w:val="23"/>
          <w:szCs w:val="23"/>
        </w:rPr>
        <w:t xml:space="preserve">; étudier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in vivo </w:t>
      </w:r>
      <w:r>
        <w:rPr>
          <w:rFonts w:ascii="Times New Roman" w:hAnsi="Times New Roman" w:cs="Times New Roman"/>
          <w:sz w:val="23"/>
          <w:szCs w:val="23"/>
        </w:rPr>
        <w:t>l’activité anthelminthique d’espèces végétales retenues</w:t>
      </w:r>
      <w:r w:rsidR="00B91235">
        <w:rPr>
          <w:rFonts w:ascii="Times New Roman" w:hAnsi="Times New Roman" w:cs="Times New Roman"/>
          <w:sz w:val="23"/>
          <w:szCs w:val="23"/>
        </w:rPr>
        <w:t xml:space="preserve"> sur </w:t>
      </w:r>
      <w:proofErr w:type="spellStart"/>
      <w:r w:rsidR="00B91235">
        <w:rPr>
          <w:rFonts w:ascii="Times New Roman" w:hAnsi="Times New Roman" w:cs="Times New Roman"/>
          <w:i/>
          <w:iCs/>
          <w:sz w:val="23"/>
          <w:szCs w:val="23"/>
        </w:rPr>
        <w:t>Haemonchus</w:t>
      </w:r>
      <w:proofErr w:type="spellEnd"/>
      <w:r w:rsidR="00B9123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B91235">
        <w:rPr>
          <w:rFonts w:ascii="Times New Roman" w:hAnsi="Times New Roman" w:cs="Times New Roman"/>
          <w:i/>
          <w:iCs/>
          <w:sz w:val="23"/>
          <w:szCs w:val="23"/>
        </w:rPr>
        <w:t>contortus</w:t>
      </w:r>
      <w:proofErr w:type="spellEnd"/>
      <w:r w:rsidR="00B91235">
        <w:rPr>
          <w:rFonts w:ascii="Times New Roman" w:hAnsi="Times New Roman" w:cs="Times New Roman"/>
          <w:i/>
          <w:iCs/>
          <w:sz w:val="23"/>
          <w:szCs w:val="23"/>
        </w:rPr>
        <w:t>,</w:t>
      </w:r>
      <w:r w:rsidR="00B91235">
        <w:rPr>
          <w:rFonts w:ascii="Times New Roman" w:hAnsi="Times New Roman" w:cs="Times New Roman"/>
          <w:sz w:val="23"/>
          <w:szCs w:val="23"/>
        </w:rPr>
        <w:t xml:space="preserve"> parasite le plus prévalant chez la chèvre</w:t>
      </w:r>
      <w:r>
        <w:rPr>
          <w:rFonts w:ascii="Times New Roman" w:hAnsi="Times New Roman" w:cs="Times New Roman"/>
          <w:sz w:val="23"/>
          <w:szCs w:val="23"/>
        </w:rPr>
        <w:t xml:space="preserve"> ; caractériser les composés anthelminthiques que renferment ces dernières ; étudier le mécanisme d’action des composés isolés sur des structures physiologique</w:t>
      </w:r>
      <w:r w:rsidR="00CF38D3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 et biochimique</w:t>
      </w:r>
      <w:r w:rsidR="00CF38D3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 d’activation du métabolisme chez le parasite. </w:t>
      </w:r>
    </w:p>
    <w:p w14:paraId="4DD1B543" w14:textId="77777777" w:rsidR="00741F7A" w:rsidRDefault="00741F7A" w:rsidP="00CF38D3">
      <w:pPr>
        <w:pStyle w:val="Default"/>
        <w:spacing w:after="240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Mots clés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: Anthelminthique, mécanisme d’action, </w:t>
      </w:r>
      <w:r w:rsidR="00B91235">
        <w:rPr>
          <w:rFonts w:ascii="Times New Roman" w:hAnsi="Times New Roman" w:cs="Times New Roman"/>
          <w:i/>
          <w:iCs/>
          <w:sz w:val="23"/>
          <w:szCs w:val="23"/>
        </w:rPr>
        <w:t xml:space="preserve">espèces </w:t>
      </w:r>
      <w:proofErr w:type="spellStart"/>
      <w:r w:rsidR="00B91235">
        <w:rPr>
          <w:rFonts w:ascii="Times New Roman" w:hAnsi="Times New Roman" w:cs="Times New Roman"/>
          <w:i/>
          <w:iCs/>
          <w:sz w:val="23"/>
          <w:szCs w:val="23"/>
        </w:rPr>
        <w:t>palmatililobées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Haemonchus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contortus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</w:p>
    <w:p w14:paraId="0123BBF6" w14:textId="77777777" w:rsidR="00741F7A" w:rsidRDefault="00741F7A" w:rsidP="00CF38D3">
      <w:pPr>
        <w:pStyle w:val="Default"/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Références </w:t>
      </w:r>
    </w:p>
    <w:p w14:paraId="52EE8011" w14:textId="77777777" w:rsidR="00741F7A" w:rsidRPr="00707801" w:rsidRDefault="00741F7A" w:rsidP="00741F7A">
      <w:pPr>
        <w:pStyle w:val="Default"/>
        <w:spacing w:after="166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proofErr w:type="spellStart"/>
      <w:r>
        <w:rPr>
          <w:rFonts w:ascii="Times New Roman" w:hAnsi="Times New Roman" w:cs="Times New Roman"/>
          <w:sz w:val="23"/>
          <w:szCs w:val="23"/>
        </w:rPr>
        <w:t>Abongwa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M.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et al. </w:t>
      </w:r>
      <w:r w:rsidRPr="00707801">
        <w:rPr>
          <w:rFonts w:ascii="Times New Roman" w:hAnsi="Times New Roman" w:cs="Times New Roman"/>
          <w:sz w:val="23"/>
          <w:szCs w:val="23"/>
        </w:rPr>
        <w:t xml:space="preserve">(2018). </w:t>
      </w:r>
      <w:r w:rsidRPr="00707801">
        <w:rPr>
          <w:rFonts w:ascii="Times New Roman" w:hAnsi="Times New Roman" w:cs="Times New Roman"/>
          <w:i/>
          <w:iCs/>
          <w:sz w:val="23"/>
          <w:szCs w:val="23"/>
        </w:rPr>
        <w:t xml:space="preserve">International Journal of </w:t>
      </w:r>
      <w:proofErr w:type="spellStart"/>
      <w:r w:rsidRPr="00707801">
        <w:rPr>
          <w:rFonts w:ascii="Times New Roman" w:hAnsi="Times New Roman" w:cs="Times New Roman"/>
          <w:i/>
          <w:iCs/>
          <w:sz w:val="23"/>
          <w:szCs w:val="23"/>
        </w:rPr>
        <w:t>Parasitology</w:t>
      </w:r>
      <w:proofErr w:type="spellEnd"/>
      <w:r w:rsidRPr="00707801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707801">
        <w:rPr>
          <w:rFonts w:ascii="Times New Roman" w:hAnsi="Times New Roman" w:cs="Times New Roman"/>
          <w:i/>
          <w:iCs/>
          <w:sz w:val="23"/>
          <w:szCs w:val="23"/>
        </w:rPr>
        <w:t>Drugs</w:t>
      </w:r>
      <w:proofErr w:type="spellEnd"/>
      <w:r w:rsidRPr="00707801">
        <w:rPr>
          <w:rFonts w:ascii="Times New Roman" w:hAnsi="Times New Roman" w:cs="Times New Roman"/>
          <w:i/>
          <w:iCs/>
          <w:sz w:val="23"/>
          <w:szCs w:val="23"/>
        </w:rPr>
        <w:t xml:space="preserve"> Drug Resistance </w:t>
      </w:r>
      <w:r w:rsidRPr="00707801">
        <w:rPr>
          <w:rFonts w:ascii="Times New Roman" w:hAnsi="Times New Roman" w:cs="Times New Roman"/>
          <w:sz w:val="23"/>
          <w:szCs w:val="23"/>
        </w:rPr>
        <w:t xml:space="preserve">8 : 36-42. </w:t>
      </w:r>
    </w:p>
    <w:p w14:paraId="22B3F2C2" w14:textId="77777777" w:rsidR="00741F7A" w:rsidRDefault="00741F7A" w:rsidP="00741F7A">
      <w:pPr>
        <w:pStyle w:val="Default"/>
        <w:spacing w:after="166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proofErr w:type="spellStart"/>
      <w:r>
        <w:rPr>
          <w:rFonts w:ascii="Times New Roman" w:hAnsi="Times New Roman" w:cs="Times New Roman"/>
          <w:sz w:val="23"/>
          <w:szCs w:val="23"/>
        </w:rPr>
        <w:t>Kaminsky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R,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et al. </w:t>
      </w:r>
      <w:r>
        <w:rPr>
          <w:rFonts w:ascii="Times New Roman" w:hAnsi="Times New Roman" w:cs="Times New Roman"/>
          <w:sz w:val="23"/>
          <w:szCs w:val="23"/>
        </w:rPr>
        <w:t xml:space="preserve">(2008).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Nature </w:t>
      </w:r>
      <w:r>
        <w:rPr>
          <w:rFonts w:ascii="Times New Roman" w:hAnsi="Times New Roman" w:cs="Times New Roman"/>
          <w:sz w:val="23"/>
          <w:szCs w:val="23"/>
        </w:rPr>
        <w:t xml:space="preserve">452 : 176–181. </w:t>
      </w:r>
    </w:p>
    <w:p w14:paraId="6C74AE9A" w14:textId="77777777" w:rsidR="00741F7A" w:rsidRDefault="00741F7A" w:rsidP="00741F7A">
      <w:pPr>
        <w:pStyle w:val="Default"/>
        <w:spacing w:after="166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Okombe EV,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et al. </w:t>
      </w:r>
      <w:r>
        <w:rPr>
          <w:rFonts w:ascii="Times New Roman" w:hAnsi="Times New Roman" w:cs="Times New Roman"/>
          <w:sz w:val="23"/>
          <w:szCs w:val="23"/>
        </w:rPr>
        <w:t xml:space="preserve">(2014).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Journal of Ethnopharmacology </w:t>
      </w:r>
      <w:r>
        <w:rPr>
          <w:rFonts w:ascii="Times New Roman" w:hAnsi="Times New Roman" w:cs="Times New Roman"/>
          <w:sz w:val="23"/>
          <w:szCs w:val="23"/>
        </w:rPr>
        <w:t xml:space="preserve">153 : 686–693. </w:t>
      </w:r>
    </w:p>
    <w:p w14:paraId="6D72656B" w14:textId="3EB276AE" w:rsidR="00741F7A" w:rsidRPr="00741F7A" w:rsidRDefault="00741F7A" w:rsidP="00707801">
      <w:pPr>
        <w:pStyle w:val="Default"/>
        <w:jc w:val="both"/>
        <w:rPr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3"/>
          <w:szCs w:val="23"/>
        </w:rPr>
        <w:t xml:space="preserve">Liu M.,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et al. </w:t>
      </w:r>
      <w:r>
        <w:rPr>
          <w:rFonts w:ascii="Times New Roman" w:hAnsi="Times New Roman" w:cs="Times New Roman"/>
          <w:sz w:val="23"/>
          <w:szCs w:val="23"/>
        </w:rPr>
        <w:t xml:space="preserve">(2018).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Journal of Ethnopharmacology </w:t>
      </w:r>
      <w:r>
        <w:rPr>
          <w:rFonts w:ascii="Times New Roman" w:hAnsi="Times New Roman" w:cs="Times New Roman"/>
          <w:sz w:val="23"/>
          <w:szCs w:val="23"/>
        </w:rPr>
        <w:t xml:space="preserve">224 : 421–428. </w:t>
      </w:r>
    </w:p>
    <w:sectPr w:rsidR="00741F7A" w:rsidRPr="00741F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32008" w14:textId="77777777" w:rsidR="00BB2D09" w:rsidRDefault="00BB2D09" w:rsidP="008E461D">
      <w:pPr>
        <w:spacing w:after="0" w:line="240" w:lineRule="auto"/>
      </w:pPr>
      <w:r>
        <w:separator/>
      </w:r>
    </w:p>
  </w:endnote>
  <w:endnote w:type="continuationSeparator" w:id="0">
    <w:p w14:paraId="46444E5E" w14:textId="77777777" w:rsidR="00BB2D09" w:rsidRDefault="00BB2D09" w:rsidP="008E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9A7B7" w14:textId="77777777" w:rsidR="00BB2D09" w:rsidRDefault="00BB2D09" w:rsidP="008E461D">
      <w:pPr>
        <w:spacing w:after="0" w:line="240" w:lineRule="auto"/>
      </w:pPr>
      <w:r>
        <w:separator/>
      </w:r>
    </w:p>
  </w:footnote>
  <w:footnote w:type="continuationSeparator" w:id="0">
    <w:p w14:paraId="6B471552" w14:textId="77777777" w:rsidR="00BB2D09" w:rsidRDefault="00BB2D09" w:rsidP="008E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3703499"/>
      <w:docPartObj>
        <w:docPartGallery w:val="Page Numbers (Top of Page)"/>
        <w:docPartUnique/>
      </w:docPartObj>
    </w:sdtPr>
    <w:sdtEndPr/>
    <w:sdtContent>
      <w:p w14:paraId="4008B3F0" w14:textId="77777777" w:rsidR="008E461D" w:rsidRDefault="008E461D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EBCE96" w14:textId="77777777" w:rsidR="008E461D" w:rsidRDefault="008E461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7A"/>
    <w:rsid w:val="00314ED8"/>
    <w:rsid w:val="00707801"/>
    <w:rsid w:val="00741F7A"/>
    <w:rsid w:val="008455EA"/>
    <w:rsid w:val="008E461D"/>
    <w:rsid w:val="00977E24"/>
    <w:rsid w:val="00B157FE"/>
    <w:rsid w:val="00B91235"/>
    <w:rsid w:val="00BB2D09"/>
    <w:rsid w:val="00CF38D3"/>
    <w:rsid w:val="00D91F1A"/>
    <w:rsid w:val="00E2454F"/>
    <w:rsid w:val="00F24BE2"/>
    <w:rsid w:val="00F3741D"/>
    <w:rsid w:val="00F728CB"/>
    <w:rsid w:val="00F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035CCA"/>
  <w15:chartTrackingRefBased/>
  <w15:docId w15:val="{1994D140-E101-4297-A20E-1A982CB9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7D59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4ED8"/>
    <w:pPr>
      <w:keepNext/>
      <w:keepLines/>
      <w:spacing w:before="320" w:after="120" w:line="276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C7D59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14ED8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customStyle="1" w:styleId="Default">
    <w:name w:val="Default"/>
    <w:rsid w:val="00741F7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41F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1F7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8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E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461D"/>
  </w:style>
  <w:style w:type="paragraph" w:styleId="Pieddepage">
    <w:name w:val="footer"/>
    <w:basedOn w:val="Normal"/>
    <w:link w:val="PieddepageCar"/>
    <w:uiPriority w:val="99"/>
    <w:unhideWhenUsed/>
    <w:rsid w:val="008E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</dc:creator>
  <cp:keywords/>
  <dc:description/>
  <cp:lastModifiedBy>Pierre DUEZ</cp:lastModifiedBy>
  <cp:revision>2</cp:revision>
  <dcterms:created xsi:type="dcterms:W3CDTF">2021-01-14T11:33:00Z</dcterms:created>
  <dcterms:modified xsi:type="dcterms:W3CDTF">2021-01-14T11:33:00Z</dcterms:modified>
</cp:coreProperties>
</file>