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C8" w:rsidRDefault="009330C8"/>
    <w:p w:rsidR="007D23F3" w:rsidRDefault="007D23F3" w:rsidP="007D23F3">
      <w:pPr>
        <w:jc w:val="center"/>
        <w:rPr>
          <w:sz w:val="48"/>
          <w:szCs w:val="48"/>
        </w:rPr>
      </w:pPr>
    </w:p>
    <w:p w:rsidR="007D23F3" w:rsidRDefault="007D23F3" w:rsidP="007D23F3">
      <w:pPr>
        <w:jc w:val="center"/>
        <w:rPr>
          <w:sz w:val="48"/>
          <w:szCs w:val="48"/>
        </w:rPr>
      </w:pPr>
    </w:p>
    <w:p w:rsidR="007D23F3" w:rsidRPr="007D23F3" w:rsidRDefault="007D23F3" w:rsidP="007D23F3">
      <w:pPr>
        <w:jc w:val="center"/>
        <w:rPr>
          <w:sz w:val="48"/>
          <w:szCs w:val="48"/>
        </w:rPr>
      </w:pPr>
      <w:r w:rsidRPr="007D23F3">
        <w:rPr>
          <w:sz w:val="48"/>
          <w:szCs w:val="48"/>
        </w:rPr>
        <w:t>Les marchés boursiers au temps du COVI</w:t>
      </w:r>
      <w:r w:rsidR="00357D7A">
        <w:rPr>
          <w:sz w:val="48"/>
          <w:szCs w:val="48"/>
        </w:rPr>
        <w:t xml:space="preserve">D 19 : le cas des </w:t>
      </w:r>
      <w:r w:rsidRPr="007D23F3">
        <w:rPr>
          <w:sz w:val="48"/>
          <w:szCs w:val="48"/>
        </w:rPr>
        <w:t>dividendes sur le SBF 120</w:t>
      </w:r>
    </w:p>
    <w:p w:rsidR="007D23F3" w:rsidRDefault="007D23F3"/>
    <w:p w:rsidR="007D23F3" w:rsidRDefault="007D23F3">
      <w:pPr>
        <w:rPr>
          <w:sz w:val="28"/>
          <w:szCs w:val="28"/>
        </w:rPr>
      </w:pPr>
    </w:p>
    <w:p w:rsidR="007D23F3" w:rsidRDefault="007D23F3">
      <w:pPr>
        <w:rPr>
          <w:sz w:val="28"/>
          <w:szCs w:val="28"/>
        </w:rPr>
      </w:pPr>
    </w:p>
    <w:p w:rsidR="007D23F3" w:rsidRDefault="007D23F3">
      <w:pPr>
        <w:rPr>
          <w:sz w:val="28"/>
          <w:szCs w:val="28"/>
        </w:rPr>
      </w:pPr>
    </w:p>
    <w:p w:rsidR="007D23F3" w:rsidRDefault="007D23F3">
      <w:pPr>
        <w:rPr>
          <w:sz w:val="28"/>
          <w:szCs w:val="28"/>
        </w:rPr>
      </w:pPr>
    </w:p>
    <w:p w:rsidR="007D23F3" w:rsidRPr="007D23F3" w:rsidRDefault="007D23F3">
      <w:pPr>
        <w:rPr>
          <w:sz w:val="28"/>
          <w:szCs w:val="28"/>
        </w:rPr>
      </w:pPr>
      <w:r w:rsidRPr="007D23F3">
        <w:rPr>
          <w:sz w:val="28"/>
          <w:szCs w:val="28"/>
        </w:rPr>
        <w:t>Alain Finet</w:t>
      </w:r>
      <w:r>
        <w:rPr>
          <w:sz w:val="28"/>
          <w:szCs w:val="28"/>
        </w:rPr>
        <w:t>, Professeur, alain.finet@umons.ac.be</w:t>
      </w:r>
    </w:p>
    <w:p w:rsidR="007D23F3" w:rsidRPr="007D23F3" w:rsidRDefault="007D23F3">
      <w:pPr>
        <w:rPr>
          <w:sz w:val="28"/>
          <w:szCs w:val="28"/>
        </w:rPr>
      </w:pPr>
      <w:r w:rsidRPr="007D23F3">
        <w:rPr>
          <w:sz w:val="28"/>
          <w:szCs w:val="28"/>
        </w:rPr>
        <w:t>Kevin Kristoforidis</w:t>
      </w:r>
      <w:r>
        <w:rPr>
          <w:sz w:val="28"/>
          <w:szCs w:val="28"/>
        </w:rPr>
        <w:t>, Assistant, kevin.kristoforidis@umons.ac.be</w:t>
      </w:r>
    </w:p>
    <w:p w:rsidR="007D23F3" w:rsidRDefault="007D23F3">
      <w:pPr>
        <w:rPr>
          <w:sz w:val="28"/>
          <w:szCs w:val="28"/>
        </w:rPr>
      </w:pPr>
    </w:p>
    <w:p w:rsidR="007D23F3" w:rsidRPr="007D23F3" w:rsidRDefault="007D23F3">
      <w:pPr>
        <w:rPr>
          <w:sz w:val="28"/>
          <w:szCs w:val="28"/>
        </w:rPr>
      </w:pPr>
      <w:r w:rsidRPr="007D23F3">
        <w:rPr>
          <w:sz w:val="28"/>
          <w:szCs w:val="28"/>
        </w:rPr>
        <w:t>Service Management Financier et Dynamiques Territoriales</w:t>
      </w:r>
    </w:p>
    <w:p w:rsidR="007D23F3" w:rsidRDefault="007D23F3">
      <w:pPr>
        <w:rPr>
          <w:sz w:val="28"/>
          <w:szCs w:val="28"/>
        </w:rPr>
      </w:pPr>
      <w:r w:rsidRPr="007D23F3">
        <w:rPr>
          <w:sz w:val="28"/>
          <w:szCs w:val="28"/>
        </w:rPr>
        <w:t>Université de Mons</w:t>
      </w:r>
    </w:p>
    <w:p w:rsidR="007D23F3" w:rsidRDefault="00D64553">
      <w:pPr>
        <w:rPr>
          <w:sz w:val="28"/>
          <w:szCs w:val="28"/>
        </w:rPr>
      </w:pPr>
      <w:r>
        <w:rPr>
          <w:sz w:val="28"/>
          <w:szCs w:val="28"/>
        </w:rPr>
        <w:t>Belgique</w:t>
      </w:r>
    </w:p>
    <w:p w:rsidR="00D64553" w:rsidRDefault="00D64553">
      <w:pPr>
        <w:rPr>
          <w:sz w:val="28"/>
          <w:szCs w:val="28"/>
        </w:rPr>
      </w:pPr>
      <w:r>
        <w:rPr>
          <w:sz w:val="28"/>
          <w:szCs w:val="28"/>
        </w:rPr>
        <w:br w:type="page"/>
      </w:r>
    </w:p>
    <w:p w:rsidR="00D64553" w:rsidRDefault="00D64553" w:rsidP="002F3780">
      <w:pPr>
        <w:pStyle w:val="Paragraphedeliste"/>
        <w:numPr>
          <w:ilvl w:val="0"/>
          <w:numId w:val="1"/>
        </w:numPr>
        <w:jc w:val="both"/>
        <w:rPr>
          <w:sz w:val="28"/>
          <w:szCs w:val="28"/>
          <w:u w:val="single"/>
        </w:rPr>
      </w:pPr>
      <w:r w:rsidRPr="00D64553">
        <w:rPr>
          <w:sz w:val="28"/>
          <w:szCs w:val="28"/>
          <w:u w:val="single"/>
        </w:rPr>
        <w:lastRenderedPageBreak/>
        <w:t>Résumé</w:t>
      </w:r>
      <w:r w:rsidR="005335B5">
        <w:rPr>
          <w:sz w:val="28"/>
          <w:szCs w:val="28"/>
          <w:u w:val="single"/>
        </w:rPr>
        <w:t xml:space="preserve"> - Summary</w:t>
      </w:r>
    </w:p>
    <w:p w:rsidR="00AA7AED" w:rsidRDefault="002F3780" w:rsidP="00254916">
      <w:pPr>
        <w:ind w:left="360"/>
        <w:jc w:val="both"/>
        <w:rPr>
          <w:sz w:val="26"/>
          <w:szCs w:val="26"/>
        </w:rPr>
      </w:pPr>
      <w:r w:rsidRPr="00FE2B07">
        <w:rPr>
          <w:sz w:val="26"/>
          <w:szCs w:val="26"/>
        </w:rPr>
        <w:t>Initialement localisée sur les marchés chinois et asiatiques à partir de décembre 2019, l</w:t>
      </w:r>
      <w:r w:rsidR="00D64553" w:rsidRPr="00FE2B07">
        <w:rPr>
          <w:sz w:val="26"/>
          <w:szCs w:val="26"/>
        </w:rPr>
        <w:t xml:space="preserve">a crise du COVID19 </w:t>
      </w:r>
      <w:r w:rsidRPr="00FE2B07">
        <w:rPr>
          <w:sz w:val="26"/>
          <w:szCs w:val="26"/>
        </w:rPr>
        <w:t xml:space="preserve">s’est largement répandue à l’ensemble des marchés boursiers, et ce à partir de la fin février 2019. Cette crise </w:t>
      </w:r>
      <w:r w:rsidR="00D64553" w:rsidRPr="00FE2B07">
        <w:rPr>
          <w:sz w:val="26"/>
          <w:szCs w:val="26"/>
        </w:rPr>
        <w:t>a engendré des mouvements boursiers d’ampleur</w:t>
      </w:r>
      <w:r w:rsidRPr="00FE2B07">
        <w:rPr>
          <w:sz w:val="26"/>
          <w:szCs w:val="26"/>
        </w:rPr>
        <w:t xml:space="preserve"> expliqués par un manque de visibilité sur les réels </w:t>
      </w:r>
      <w:r w:rsidR="00AA7AED" w:rsidRPr="00FE2B07">
        <w:rPr>
          <w:sz w:val="26"/>
          <w:szCs w:val="26"/>
        </w:rPr>
        <w:t xml:space="preserve">effets systémiques engendrés </w:t>
      </w:r>
      <w:r w:rsidR="003C00BA">
        <w:rPr>
          <w:sz w:val="26"/>
          <w:szCs w:val="26"/>
        </w:rPr>
        <w:t>par un confine</w:t>
      </w:r>
      <w:r w:rsidR="00357D7A">
        <w:rPr>
          <w:sz w:val="26"/>
          <w:szCs w:val="26"/>
        </w:rPr>
        <w:t xml:space="preserve">ment prolongé </w:t>
      </w:r>
      <w:r w:rsidR="00AA7AED" w:rsidRPr="00FE2B07">
        <w:rPr>
          <w:sz w:val="26"/>
          <w:szCs w:val="26"/>
        </w:rPr>
        <w:t xml:space="preserve">et, par conséquent, </w:t>
      </w:r>
      <w:r w:rsidRPr="00FE2B07">
        <w:rPr>
          <w:sz w:val="26"/>
          <w:szCs w:val="26"/>
        </w:rPr>
        <w:t>sur les niveaux de performance des entreprises pour les exercices comptables futurs. Dans cette optique, un nombre important d’</w:t>
      </w:r>
      <w:r w:rsidR="00AA7AED" w:rsidRPr="00FE2B07">
        <w:rPr>
          <w:sz w:val="26"/>
          <w:szCs w:val="26"/>
        </w:rPr>
        <w:t>entreprises, dans un</w:t>
      </w:r>
      <w:r w:rsidRPr="00FE2B07">
        <w:rPr>
          <w:sz w:val="26"/>
          <w:szCs w:val="26"/>
        </w:rPr>
        <w:t xml:space="preserve"> souci de précaution</w:t>
      </w:r>
      <w:r w:rsidR="00AA7AED" w:rsidRPr="00FE2B07">
        <w:rPr>
          <w:sz w:val="26"/>
          <w:szCs w:val="26"/>
        </w:rPr>
        <w:t xml:space="preserve"> naturel ou plus ou moins contraint</w:t>
      </w:r>
      <w:r w:rsidRPr="00FE2B07">
        <w:rPr>
          <w:sz w:val="26"/>
          <w:szCs w:val="26"/>
        </w:rPr>
        <w:t>, ont décidé de revoir leur politique de versements de dividendes, soit ceux-ci ont été réduits, soit tout simplement</w:t>
      </w:r>
      <w:r w:rsidR="006A07CA">
        <w:rPr>
          <w:sz w:val="26"/>
          <w:szCs w:val="26"/>
        </w:rPr>
        <w:t xml:space="preserve"> annulés. En nous basant sur l’ensemble des entreprises du SBF120 de</w:t>
      </w:r>
      <w:r w:rsidRPr="00FE2B07">
        <w:rPr>
          <w:sz w:val="26"/>
          <w:szCs w:val="26"/>
        </w:rPr>
        <w:t xml:space="preserve"> la place parisienne, nous travaillons sur deux populations d’entreprises : une première ayant décidé d’annuler le versement de dividendes </w:t>
      </w:r>
      <w:r w:rsidR="00AA7AED" w:rsidRPr="00FE2B07">
        <w:rPr>
          <w:sz w:val="26"/>
          <w:szCs w:val="26"/>
        </w:rPr>
        <w:t xml:space="preserve">pour l’exercice comptable 2019 </w:t>
      </w:r>
      <w:r w:rsidRPr="00FE2B07">
        <w:rPr>
          <w:sz w:val="26"/>
          <w:szCs w:val="26"/>
        </w:rPr>
        <w:t xml:space="preserve">et une autre les ayant maintenus ou réduits. </w:t>
      </w:r>
      <w:r w:rsidR="000263E6">
        <w:rPr>
          <w:sz w:val="26"/>
          <w:szCs w:val="26"/>
        </w:rPr>
        <w:t>En considérant l’importance du contenu informationnel lié à la politique de distribution des dividendes, n</w:t>
      </w:r>
      <w:r w:rsidRPr="00FE2B07">
        <w:rPr>
          <w:sz w:val="26"/>
          <w:szCs w:val="26"/>
        </w:rPr>
        <w:t>ous posons l’hypothèse que le signal envoyé aux marchés</w:t>
      </w:r>
      <w:r w:rsidR="00AA7AED" w:rsidRPr="00FE2B07">
        <w:rPr>
          <w:sz w:val="26"/>
          <w:szCs w:val="26"/>
        </w:rPr>
        <w:t xml:space="preserve"> est fondamentalement différent selon le type de décisions prises. </w:t>
      </w:r>
      <w:r w:rsidR="000224E4">
        <w:rPr>
          <w:sz w:val="26"/>
          <w:szCs w:val="26"/>
        </w:rPr>
        <w:t>Après le 27 mars et</w:t>
      </w:r>
      <w:r w:rsidR="004A556A">
        <w:rPr>
          <w:sz w:val="26"/>
          <w:szCs w:val="26"/>
        </w:rPr>
        <w:t xml:space="preserve"> l’implication </w:t>
      </w:r>
      <w:r w:rsidR="000224E4">
        <w:rPr>
          <w:sz w:val="26"/>
          <w:szCs w:val="26"/>
        </w:rPr>
        <w:t>inédite de l’Etat dans le débat, l’</w:t>
      </w:r>
      <w:r w:rsidR="00227A2B">
        <w:rPr>
          <w:sz w:val="26"/>
          <w:szCs w:val="26"/>
        </w:rPr>
        <w:t xml:space="preserve">annonce </w:t>
      </w:r>
      <w:r w:rsidR="000224E4">
        <w:rPr>
          <w:sz w:val="26"/>
          <w:szCs w:val="26"/>
        </w:rPr>
        <w:t xml:space="preserve">de la révision des dividendes </w:t>
      </w:r>
      <w:r w:rsidR="00227A2B">
        <w:rPr>
          <w:sz w:val="26"/>
          <w:szCs w:val="26"/>
        </w:rPr>
        <w:t>pourrait simplement constituer une pratique courant</w:t>
      </w:r>
      <w:r w:rsidR="004A556A">
        <w:rPr>
          <w:sz w:val="26"/>
          <w:szCs w:val="26"/>
        </w:rPr>
        <w:t>e</w:t>
      </w:r>
      <w:r w:rsidR="00227A2B">
        <w:rPr>
          <w:sz w:val="26"/>
          <w:szCs w:val="26"/>
        </w:rPr>
        <w:t xml:space="preserve"> sans effet sur les comportements des investisseurs. </w:t>
      </w:r>
      <w:r w:rsidR="00AA7AED" w:rsidRPr="00FE2B07">
        <w:rPr>
          <w:sz w:val="26"/>
          <w:szCs w:val="26"/>
        </w:rPr>
        <w:t xml:space="preserve">Les résultats auxquels nous sommes parvenus tendent à démontrer que l’intervention de l’Etat </w:t>
      </w:r>
      <w:r w:rsidR="00435F3E">
        <w:rPr>
          <w:sz w:val="26"/>
          <w:szCs w:val="26"/>
        </w:rPr>
        <w:t xml:space="preserve">et, dans une certaine mesure celle d’institutions supra nationales (la BCE) </w:t>
      </w:r>
      <w:r w:rsidR="00AA7AED" w:rsidRPr="00FE2B07">
        <w:rPr>
          <w:sz w:val="26"/>
          <w:szCs w:val="26"/>
        </w:rPr>
        <w:t xml:space="preserve">le 27 </w:t>
      </w:r>
      <w:r w:rsidR="005335B5">
        <w:rPr>
          <w:sz w:val="26"/>
          <w:szCs w:val="26"/>
        </w:rPr>
        <w:t xml:space="preserve">mars </w:t>
      </w:r>
      <w:r w:rsidR="004713B1">
        <w:rPr>
          <w:sz w:val="26"/>
          <w:szCs w:val="26"/>
        </w:rPr>
        <w:t xml:space="preserve">a </w:t>
      </w:r>
      <w:r w:rsidR="00325CB5">
        <w:rPr>
          <w:sz w:val="26"/>
          <w:szCs w:val="26"/>
        </w:rPr>
        <w:t>tempéré</w:t>
      </w:r>
      <w:r w:rsidR="00AA7AED" w:rsidRPr="00FE2B07">
        <w:rPr>
          <w:sz w:val="26"/>
          <w:szCs w:val="26"/>
        </w:rPr>
        <w:t xml:space="preserve"> le comportement des intervenants financiers à l’annonce de la révision des dividendes versés</w:t>
      </w:r>
      <w:r w:rsidR="007874DF">
        <w:rPr>
          <w:sz w:val="26"/>
          <w:szCs w:val="26"/>
        </w:rPr>
        <w:t xml:space="preserve">. Sur toute la période, </w:t>
      </w:r>
      <w:r w:rsidR="005335B5">
        <w:rPr>
          <w:sz w:val="26"/>
          <w:szCs w:val="26"/>
        </w:rPr>
        <w:t>l</w:t>
      </w:r>
      <w:r w:rsidR="004713B1">
        <w:rPr>
          <w:sz w:val="26"/>
          <w:szCs w:val="26"/>
        </w:rPr>
        <w:t>es ac</w:t>
      </w:r>
      <w:r w:rsidR="00363338">
        <w:rPr>
          <w:sz w:val="26"/>
          <w:szCs w:val="26"/>
        </w:rPr>
        <w:t>tionnaires ont eu tendance à saluer</w:t>
      </w:r>
      <w:r w:rsidR="004713B1">
        <w:rPr>
          <w:sz w:val="26"/>
          <w:szCs w:val="26"/>
        </w:rPr>
        <w:t xml:space="preserve"> les annonces de</w:t>
      </w:r>
      <w:r w:rsidR="00736ED9">
        <w:rPr>
          <w:sz w:val="26"/>
          <w:szCs w:val="26"/>
        </w:rPr>
        <w:t xml:space="preserve"> versements</w:t>
      </w:r>
      <w:r w:rsidR="007862A6">
        <w:rPr>
          <w:sz w:val="26"/>
          <w:szCs w:val="26"/>
        </w:rPr>
        <w:t xml:space="preserve"> (même réduits)</w:t>
      </w:r>
      <w:r w:rsidR="007874DF">
        <w:rPr>
          <w:sz w:val="26"/>
          <w:szCs w:val="26"/>
        </w:rPr>
        <w:t>, mais</w:t>
      </w:r>
      <w:r w:rsidR="007862A6">
        <w:rPr>
          <w:sz w:val="26"/>
          <w:szCs w:val="26"/>
        </w:rPr>
        <w:t xml:space="preserve"> de manière plus prononcée</w:t>
      </w:r>
      <w:r w:rsidR="005335B5">
        <w:rPr>
          <w:sz w:val="26"/>
          <w:szCs w:val="26"/>
        </w:rPr>
        <w:t xml:space="preserve"> </w:t>
      </w:r>
      <w:r w:rsidR="007874DF">
        <w:rPr>
          <w:sz w:val="26"/>
          <w:szCs w:val="26"/>
        </w:rPr>
        <w:t xml:space="preserve">et statistiquement significative </w:t>
      </w:r>
      <w:r w:rsidR="005335B5">
        <w:rPr>
          <w:sz w:val="26"/>
          <w:szCs w:val="26"/>
        </w:rPr>
        <w:t>après le 27 mars</w:t>
      </w:r>
      <w:r w:rsidR="00AA7AED" w:rsidRPr="00FE2B07">
        <w:rPr>
          <w:sz w:val="26"/>
          <w:szCs w:val="26"/>
        </w:rPr>
        <w:t xml:space="preserve">.  </w:t>
      </w:r>
    </w:p>
    <w:p w:rsidR="007E59CA" w:rsidRPr="00254916" w:rsidRDefault="007E59CA" w:rsidP="00254916">
      <w:pPr>
        <w:ind w:left="360"/>
        <w:jc w:val="both"/>
        <w:rPr>
          <w:sz w:val="26"/>
          <w:szCs w:val="26"/>
        </w:rPr>
      </w:pPr>
      <w:r>
        <w:rPr>
          <w:sz w:val="26"/>
          <w:szCs w:val="26"/>
        </w:rPr>
        <w:t xml:space="preserve">Spreading from China to Western countries, COVID19 has been affected stock markets since the end of February 2020. General lockdown has led to a lack of firm visibility for the next financial years. In line, a lot of firms decided to revisit their dividend policy : they have been reduced or cancelled. Considering firms in the SBF120 index on the French stock market, we consider </w:t>
      </w:r>
      <w:r w:rsidR="000224E4">
        <w:rPr>
          <w:sz w:val="26"/>
          <w:szCs w:val="26"/>
        </w:rPr>
        <w:t xml:space="preserve">two kinds of firms : from one side, firms cancelling dividends and, on the other side, firms reducing or maintaining them. It has been admitted that dividend policy could include informational content and the signal sent to the markets could basically depend on </w:t>
      </w:r>
      <w:r w:rsidR="002552D8">
        <w:rPr>
          <w:sz w:val="26"/>
          <w:szCs w:val="26"/>
        </w:rPr>
        <w:t xml:space="preserve">the decision taken. After </w:t>
      </w:r>
      <w:r w:rsidR="000224E4">
        <w:rPr>
          <w:sz w:val="26"/>
          <w:szCs w:val="26"/>
        </w:rPr>
        <w:t>March</w:t>
      </w:r>
      <w:r w:rsidR="002552D8">
        <w:rPr>
          <w:sz w:val="26"/>
          <w:szCs w:val="26"/>
        </w:rPr>
        <w:t xml:space="preserve"> 27th</w:t>
      </w:r>
      <w:r w:rsidR="000224E4">
        <w:rPr>
          <w:sz w:val="26"/>
          <w:szCs w:val="26"/>
        </w:rPr>
        <w:t xml:space="preserve"> and the </w:t>
      </w:r>
      <w:r w:rsidR="007862A6">
        <w:rPr>
          <w:sz w:val="26"/>
          <w:szCs w:val="26"/>
        </w:rPr>
        <w:t xml:space="preserve">French </w:t>
      </w:r>
      <w:r w:rsidR="000224E4">
        <w:rPr>
          <w:sz w:val="26"/>
          <w:szCs w:val="26"/>
        </w:rPr>
        <w:t>state involvement, changes in dividend policy could represent a</w:t>
      </w:r>
      <w:r w:rsidR="002552D8">
        <w:rPr>
          <w:sz w:val="26"/>
          <w:szCs w:val="26"/>
        </w:rPr>
        <w:t>n</w:t>
      </w:r>
      <w:r w:rsidR="000224E4">
        <w:rPr>
          <w:sz w:val="26"/>
          <w:szCs w:val="26"/>
        </w:rPr>
        <w:t xml:space="preserve"> usual pratice on the markets without consequences on the shareholders behavior. Our results suggest </w:t>
      </w:r>
      <w:r w:rsidR="007874DF">
        <w:rPr>
          <w:sz w:val="26"/>
          <w:szCs w:val="26"/>
        </w:rPr>
        <w:t>that the French State involvement has tempered markets reactions when announcing changes in dividend policy</w:t>
      </w:r>
      <w:r w:rsidR="00EB3A4D">
        <w:rPr>
          <w:sz w:val="26"/>
          <w:szCs w:val="26"/>
        </w:rPr>
        <w:t xml:space="preserve">. However, whatever </w:t>
      </w:r>
      <w:r w:rsidR="003916E7">
        <w:rPr>
          <w:sz w:val="26"/>
          <w:szCs w:val="26"/>
        </w:rPr>
        <w:t xml:space="preserve">the period considered, markets </w:t>
      </w:r>
      <w:r w:rsidR="002552D8">
        <w:rPr>
          <w:sz w:val="26"/>
          <w:szCs w:val="26"/>
        </w:rPr>
        <w:t>expresse</w:t>
      </w:r>
      <w:r w:rsidR="003916E7">
        <w:rPr>
          <w:sz w:val="26"/>
          <w:szCs w:val="26"/>
        </w:rPr>
        <w:t>d</w:t>
      </w:r>
      <w:r w:rsidR="002552D8">
        <w:rPr>
          <w:sz w:val="26"/>
          <w:szCs w:val="26"/>
        </w:rPr>
        <w:t xml:space="preserve"> </w:t>
      </w:r>
      <w:r w:rsidR="003916E7">
        <w:rPr>
          <w:sz w:val="26"/>
          <w:szCs w:val="26"/>
        </w:rPr>
        <w:t xml:space="preserve">its preference for </w:t>
      </w:r>
      <w:r w:rsidR="002552D8">
        <w:rPr>
          <w:sz w:val="26"/>
          <w:szCs w:val="26"/>
        </w:rPr>
        <w:t>firms paying dividends, even if reduced. This result is statistically stronger after March 27th</w:t>
      </w:r>
      <w:r w:rsidR="007862A6">
        <w:rPr>
          <w:sz w:val="26"/>
          <w:szCs w:val="26"/>
        </w:rPr>
        <w:t xml:space="preserve"> than for the whole period</w:t>
      </w:r>
      <w:r w:rsidR="002552D8">
        <w:rPr>
          <w:sz w:val="26"/>
          <w:szCs w:val="26"/>
        </w:rPr>
        <w:t>.</w:t>
      </w:r>
    </w:p>
    <w:p w:rsidR="00D64553" w:rsidRDefault="00D07659" w:rsidP="002F3780">
      <w:pPr>
        <w:pStyle w:val="Paragraphedeliste"/>
        <w:numPr>
          <w:ilvl w:val="0"/>
          <w:numId w:val="1"/>
        </w:numPr>
        <w:jc w:val="both"/>
        <w:rPr>
          <w:sz w:val="28"/>
          <w:szCs w:val="28"/>
          <w:u w:val="single"/>
        </w:rPr>
      </w:pPr>
      <w:r>
        <w:rPr>
          <w:sz w:val="28"/>
          <w:szCs w:val="28"/>
          <w:u w:val="single"/>
        </w:rPr>
        <w:t xml:space="preserve">Introduction et </w:t>
      </w:r>
      <w:r w:rsidR="00D64553" w:rsidRPr="00D64553">
        <w:rPr>
          <w:sz w:val="28"/>
          <w:szCs w:val="28"/>
          <w:u w:val="single"/>
        </w:rPr>
        <w:t>motivations</w:t>
      </w:r>
      <w:r>
        <w:rPr>
          <w:sz w:val="28"/>
          <w:szCs w:val="28"/>
          <w:u w:val="single"/>
        </w:rPr>
        <w:t xml:space="preserve"> </w:t>
      </w:r>
      <w:r w:rsidR="00D64553" w:rsidRPr="00D64553">
        <w:rPr>
          <w:sz w:val="28"/>
          <w:szCs w:val="28"/>
          <w:u w:val="single"/>
        </w:rPr>
        <w:t xml:space="preserve">de </w:t>
      </w:r>
      <w:r>
        <w:rPr>
          <w:sz w:val="28"/>
          <w:szCs w:val="28"/>
          <w:u w:val="single"/>
        </w:rPr>
        <w:t xml:space="preserve">la </w:t>
      </w:r>
      <w:r w:rsidR="00D64553" w:rsidRPr="00D64553">
        <w:rPr>
          <w:sz w:val="28"/>
          <w:szCs w:val="28"/>
          <w:u w:val="single"/>
        </w:rPr>
        <w:t>recherche</w:t>
      </w:r>
    </w:p>
    <w:p w:rsidR="00AA7AED" w:rsidRDefault="00125A0C" w:rsidP="00FE2B07">
      <w:pPr>
        <w:ind w:left="360"/>
        <w:jc w:val="both"/>
        <w:rPr>
          <w:sz w:val="26"/>
          <w:szCs w:val="26"/>
        </w:rPr>
      </w:pPr>
      <w:r>
        <w:rPr>
          <w:sz w:val="26"/>
          <w:szCs w:val="26"/>
        </w:rPr>
        <w:t xml:space="preserve">La crise sanitaire du COVID 19 a engendré le développement de nouveaux paradigmes sur les marchés boursiers du fait de son caractère peu anticipé </w:t>
      </w:r>
      <w:r w:rsidR="00804193">
        <w:rPr>
          <w:sz w:val="26"/>
          <w:szCs w:val="26"/>
        </w:rPr>
        <w:t xml:space="preserve">(dans </w:t>
      </w:r>
      <w:r w:rsidR="00BB6FD6">
        <w:rPr>
          <w:sz w:val="26"/>
          <w:szCs w:val="26"/>
        </w:rPr>
        <w:t xml:space="preserve">la </w:t>
      </w:r>
      <w:r w:rsidR="00804193">
        <w:rPr>
          <w:sz w:val="26"/>
          <w:szCs w:val="26"/>
        </w:rPr>
        <w:t xml:space="preserve">logique du Cygne Noir de Nicholas Taleb, 2007) </w:t>
      </w:r>
      <w:r>
        <w:rPr>
          <w:sz w:val="26"/>
          <w:szCs w:val="26"/>
        </w:rPr>
        <w:t xml:space="preserve">et, peut-être, du fait d’un aveuglement financier causé par une tendance boursière très positive depuis plusieurs années (le CAC40 et le DJ30 se sont ainsi respectivement accrus de </w:t>
      </w:r>
      <w:r w:rsidR="00211DF9">
        <w:rPr>
          <w:sz w:val="26"/>
          <w:szCs w:val="26"/>
        </w:rPr>
        <w:t>33,6</w:t>
      </w:r>
      <w:r>
        <w:rPr>
          <w:sz w:val="26"/>
          <w:szCs w:val="26"/>
        </w:rPr>
        <w:t xml:space="preserve">% et de </w:t>
      </w:r>
      <w:r w:rsidR="000345AA">
        <w:rPr>
          <w:sz w:val="26"/>
          <w:szCs w:val="26"/>
        </w:rPr>
        <w:t>68,34</w:t>
      </w:r>
      <w:r>
        <w:rPr>
          <w:sz w:val="26"/>
          <w:szCs w:val="26"/>
        </w:rPr>
        <w:t>% entre janvier 2016 et ja</w:t>
      </w:r>
      <w:r w:rsidR="0031729F">
        <w:rPr>
          <w:sz w:val="26"/>
          <w:szCs w:val="26"/>
        </w:rPr>
        <w:t>nvier 2020</w:t>
      </w:r>
      <w:r>
        <w:rPr>
          <w:sz w:val="26"/>
          <w:szCs w:val="26"/>
        </w:rPr>
        <w:t>)</w:t>
      </w:r>
      <w:r w:rsidR="00DB27B7">
        <w:rPr>
          <w:sz w:val="26"/>
          <w:szCs w:val="26"/>
        </w:rPr>
        <w:t xml:space="preserve"> avec</w:t>
      </w:r>
      <w:r w:rsidR="000345AA">
        <w:rPr>
          <w:sz w:val="26"/>
          <w:szCs w:val="26"/>
        </w:rPr>
        <w:t xml:space="preserve"> des niveau</w:t>
      </w:r>
      <w:r w:rsidR="00871013">
        <w:rPr>
          <w:sz w:val="26"/>
          <w:szCs w:val="26"/>
        </w:rPr>
        <w:t xml:space="preserve">x élevés de résilience, mêmes lors </w:t>
      </w:r>
      <w:r w:rsidR="000345AA">
        <w:rPr>
          <w:sz w:val="26"/>
          <w:szCs w:val="26"/>
        </w:rPr>
        <w:t>d’annonces à contenu informationnel négatif</w:t>
      </w:r>
      <w:r w:rsidR="00871013">
        <w:rPr>
          <w:sz w:val="26"/>
          <w:szCs w:val="26"/>
        </w:rPr>
        <w:t xml:space="preserve"> (citons </w:t>
      </w:r>
      <w:r w:rsidR="000345AA">
        <w:rPr>
          <w:sz w:val="26"/>
          <w:szCs w:val="26"/>
        </w:rPr>
        <w:t>un Brexit désordonné et de vives tensions commerciales sino-américaines</w:t>
      </w:r>
      <w:r w:rsidR="00871013">
        <w:rPr>
          <w:sz w:val="26"/>
          <w:szCs w:val="26"/>
        </w:rPr>
        <w:t>)</w:t>
      </w:r>
      <w:r>
        <w:rPr>
          <w:sz w:val="26"/>
          <w:szCs w:val="26"/>
        </w:rPr>
        <w:t>.</w:t>
      </w:r>
      <w:r w:rsidR="00DB27B7">
        <w:rPr>
          <w:sz w:val="26"/>
          <w:szCs w:val="26"/>
        </w:rPr>
        <w:t xml:space="preserve"> </w:t>
      </w:r>
      <w:r w:rsidR="00E75EB3">
        <w:rPr>
          <w:sz w:val="26"/>
          <w:szCs w:val="26"/>
        </w:rPr>
        <w:t>La réaction des opérateurs boursiers a donc été ressenti</w:t>
      </w:r>
      <w:r w:rsidR="00D25138">
        <w:rPr>
          <w:sz w:val="26"/>
          <w:szCs w:val="26"/>
        </w:rPr>
        <w:t>e</w:t>
      </w:r>
      <w:r w:rsidR="00E75EB3">
        <w:rPr>
          <w:sz w:val="26"/>
          <w:szCs w:val="26"/>
        </w:rPr>
        <w:t xml:space="preserve"> d’une manière d’autant plus vio</w:t>
      </w:r>
      <w:r w:rsidR="00736ED9">
        <w:rPr>
          <w:sz w:val="26"/>
          <w:szCs w:val="26"/>
        </w:rPr>
        <w:t>lente que les marchés</w:t>
      </w:r>
      <w:r w:rsidR="00E75EB3">
        <w:rPr>
          <w:sz w:val="26"/>
          <w:szCs w:val="26"/>
        </w:rPr>
        <w:t xml:space="preserve"> </w:t>
      </w:r>
      <w:r w:rsidR="00A327BF">
        <w:rPr>
          <w:sz w:val="26"/>
          <w:szCs w:val="26"/>
        </w:rPr>
        <w:t xml:space="preserve">avaient </w:t>
      </w:r>
      <w:r w:rsidR="00E75EB3">
        <w:rPr>
          <w:sz w:val="26"/>
          <w:szCs w:val="26"/>
        </w:rPr>
        <w:t xml:space="preserve">perdu l’habitude </w:t>
      </w:r>
      <w:r w:rsidR="00736ED9">
        <w:rPr>
          <w:sz w:val="26"/>
          <w:szCs w:val="26"/>
        </w:rPr>
        <w:t>d</w:t>
      </w:r>
      <w:r w:rsidR="00871013">
        <w:rPr>
          <w:sz w:val="26"/>
          <w:szCs w:val="26"/>
        </w:rPr>
        <w:t xml:space="preserve">e devoir </w:t>
      </w:r>
      <w:r w:rsidR="00736ED9">
        <w:rPr>
          <w:sz w:val="26"/>
          <w:szCs w:val="26"/>
        </w:rPr>
        <w:t xml:space="preserve">assimiler un choc brutal </w:t>
      </w:r>
      <w:r w:rsidR="00871013">
        <w:rPr>
          <w:sz w:val="26"/>
          <w:szCs w:val="26"/>
        </w:rPr>
        <w:t xml:space="preserve">de telle ampleur </w:t>
      </w:r>
      <w:r w:rsidR="00E75EB3">
        <w:rPr>
          <w:sz w:val="26"/>
          <w:szCs w:val="26"/>
        </w:rPr>
        <w:t xml:space="preserve">depuis la crise des subprimes en 2008. Ainsi entre le 21 février </w:t>
      </w:r>
      <w:r w:rsidR="00DD74C6">
        <w:rPr>
          <w:sz w:val="26"/>
          <w:szCs w:val="26"/>
        </w:rPr>
        <w:t xml:space="preserve">– date de la première annonce en relation avec l’événement analysé </w:t>
      </w:r>
      <w:r w:rsidR="00E75EB3">
        <w:rPr>
          <w:sz w:val="26"/>
          <w:szCs w:val="26"/>
        </w:rPr>
        <w:t>et le 29 mai 2020</w:t>
      </w:r>
      <w:r w:rsidR="00DD74C6">
        <w:rPr>
          <w:sz w:val="26"/>
          <w:szCs w:val="26"/>
        </w:rPr>
        <w:t xml:space="preserve"> -  date de la dernière annonce</w:t>
      </w:r>
      <w:r w:rsidR="00E75EB3">
        <w:rPr>
          <w:sz w:val="26"/>
          <w:szCs w:val="26"/>
        </w:rPr>
        <w:t xml:space="preserve">, les </w:t>
      </w:r>
      <w:r w:rsidR="00DE3577">
        <w:rPr>
          <w:sz w:val="26"/>
          <w:szCs w:val="26"/>
        </w:rPr>
        <w:t>entreprises du CAC40 ont perdu</w:t>
      </w:r>
      <w:r w:rsidR="00E75EB3">
        <w:rPr>
          <w:sz w:val="26"/>
          <w:szCs w:val="26"/>
        </w:rPr>
        <w:t>, en moyenne, 25% de leur valorisation boursière, avec des chutes très marquées</w:t>
      </w:r>
      <w:r w:rsidR="00DE3577">
        <w:rPr>
          <w:sz w:val="26"/>
          <w:szCs w:val="26"/>
        </w:rPr>
        <w:t xml:space="preserve"> pour certaines entreprises (Société Générale et Airbus ont ainsi perdu 57% sur l’horizon temporel considéré tandis qu’Unibail perdait plus de 60%) et beaucoup moins importantes pour les secteurs du luxe et de la santé. </w:t>
      </w:r>
      <w:r w:rsidR="00C6721E">
        <w:rPr>
          <w:sz w:val="26"/>
          <w:szCs w:val="26"/>
        </w:rPr>
        <w:t>Les entreprises ont été contraintes, par la force des événements</w:t>
      </w:r>
      <w:r w:rsidR="003570A0">
        <w:rPr>
          <w:sz w:val="26"/>
          <w:szCs w:val="26"/>
        </w:rPr>
        <w:t>,</w:t>
      </w:r>
      <w:r w:rsidR="00C6721E">
        <w:rPr>
          <w:sz w:val="26"/>
          <w:szCs w:val="26"/>
        </w:rPr>
        <w:t xml:space="preserve"> à communiquer en vue de rassurer les marchés</w:t>
      </w:r>
      <w:r w:rsidR="00A327BF">
        <w:rPr>
          <w:sz w:val="26"/>
          <w:szCs w:val="26"/>
        </w:rPr>
        <w:t xml:space="preserve"> et de restaurer une confiance qui ne cessait de s’effriter</w:t>
      </w:r>
      <w:r w:rsidR="00C6721E">
        <w:rPr>
          <w:sz w:val="26"/>
          <w:szCs w:val="26"/>
        </w:rPr>
        <w:t xml:space="preserve">. Cet exercice de communication était d’autant plus naturel que l’émergence des effets du COVID19 a, de manière fortuite, coïncidé avec l’annonce des résultats annuels d’un nombre important d’entreprises. </w:t>
      </w:r>
      <w:r w:rsidR="003570A0">
        <w:rPr>
          <w:sz w:val="26"/>
          <w:szCs w:val="26"/>
        </w:rPr>
        <w:t>Celles-ci</w:t>
      </w:r>
      <w:r w:rsidR="00C6721E">
        <w:rPr>
          <w:sz w:val="26"/>
          <w:szCs w:val="26"/>
        </w:rPr>
        <w:t xml:space="preserve"> ont lourdement insisté s</w:t>
      </w:r>
      <w:r w:rsidR="000D41A3">
        <w:rPr>
          <w:sz w:val="26"/>
          <w:szCs w:val="26"/>
        </w:rPr>
        <w:t>ur le manque de visibilité d</w:t>
      </w:r>
      <w:r w:rsidR="00C6721E">
        <w:rPr>
          <w:sz w:val="26"/>
          <w:szCs w:val="26"/>
        </w:rPr>
        <w:t>es effets du COVID19 sur leurs niveaux de performance dans le futur.</w:t>
      </w:r>
      <w:r w:rsidR="000D41A3">
        <w:rPr>
          <w:sz w:val="26"/>
          <w:szCs w:val="26"/>
        </w:rPr>
        <w:t xml:space="preserve"> </w:t>
      </w:r>
      <w:r w:rsidR="00C6721E">
        <w:rPr>
          <w:sz w:val="26"/>
          <w:szCs w:val="26"/>
        </w:rPr>
        <w:t xml:space="preserve"> </w:t>
      </w:r>
      <w:r w:rsidR="000D41A3">
        <w:rPr>
          <w:sz w:val="26"/>
          <w:szCs w:val="26"/>
        </w:rPr>
        <w:t>A titre illustratif,</w:t>
      </w:r>
      <w:r w:rsidR="003570A0">
        <w:rPr>
          <w:sz w:val="26"/>
          <w:szCs w:val="26"/>
        </w:rPr>
        <w:t xml:space="preserve"> Bouygues avan</w:t>
      </w:r>
      <w:r w:rsidR="00804193">
        <w:rPr>
          <w:sz w:val="26"/>
          <w:szCs w:val="26"/>
        </w:rPr>
        <w:t>çait</w:t>
      </w:r>
      <w:r w:rsidR="000D41A3">
        <w:rPr>
          <w:sz w:val="26"/>
          <w:szCs w:val="26"/>
        </w:rPr>
        <w:t xml:space="preserve"> le 14 mai 2020 que</w:t>
      </w:r>
      <w:r w:rsidR="000D41A3" w:rsidRPr="000D41A3">
        <w:rPr>
          <w:sz w:val="26"/>
          <w:szCs w:val="26"/>
        </w:rPr>
        <w:t xml:space="preserve"> </w:t>
      </w:r>
      <w:r w:rsidR="000D41A3">
        <w:rPr>
          <w:sz w:val="26"/>
          <w:szCs w:val="26"/>
        </w:rPr>
        <w:t>« </w:t>
      </w:r>
      <w:r w:rsidR="000D41A3" w:rsidRPr="000D41A3">
        <w:rPr>
          <w:i/>
          <w:sz w:val="26"/>
          <w:szCs w:val="26"/>
        </w:rPr>
        <w:t>en raison du manque de visibilité sur le calendrier de reprise totale de l'activité, sur le rattrapage des retards subis, ainsi que sur les conséquences liées à la crise du Covid-19, il est trop tôt pour établir de nouveaux objectifs pour l'année 2020 pour le groupe, les activités de construction et TF1</w:t>
      </w:r>
      <w:r w:rsidR="000D41A3">
        <w:rPr>
          <w:sz w:val="26"/>
          <w:szCs w:val="26"/>
        </w:rPr>
        <w:t> ».</w:t>
      </w:r>
    </w:p>
    <w:p w:rsidR="00766551" w:rsidRDefault="003570A0" w:rsidP="00543BA8">
      <w:pPr>
        <w:ind w:left="360"/>
        <w:jc w:val="both"/>
        <w:rPr>
          <w:sz w:val="26"/>
          <w:szCs w:val="26"/>
        </w:rPr>
      </w:pPr>
      <w:r>
        <w:rPr>
          <w:sz w:val="26"/>
          <w:szCs w:val="26"/>
        </w:rPr>
        <w:t xml:space="preserve">Dans cette optique, et au sein d’un environnement caractérisé par une quasi mise à l’arrêt de l’appareil économique, les marges de manœuvre financières </w:t>
      </w:r>
      <w:r w:rsidR="00804193">
        <w:rPr>
          <w:sz w:val="26"/>
          <w:szCs w:val="26"/>
        </w:rPr>
        <w:t xml:space="preserve">directement mobilisables par les entreprises </w:t>
      </w:r>
      <w:r>
        <w:rPr>
          <w:sz w:val="26"/>
          <w:szCs w:val="26"/>
        </w:rPr>
        <w:t xml:space="preserve">étaient relativement réduites afin de faire face à d’éventuels problèmes de trésorerie dans le futur. Le levier d’ajustement s’est </w:t>
      </w:r>
      <w:r w:rsidR="00227A2B">
        <w:rPr>
          <w:sz w:val="26"/>
          <w:szCs w:val="26"/>
        </w:rPr>
        <w:t xml:space="preserve">naturellement </w:t>
      </w:r>
      <w:r>
        <w:rPr>
          <w:sz w:val="26"/>
          <w:szCs w:val="26"/>
        </w:rPr>
        <w:t xml:space="preserve">porté sur la politique de distribution de dividendes ; la modification de celle-ci est devenue en quelques semaines une pratique </w:t>
      </w:r>
      <w:r w:rsidR="0067046A">
        <w:rPr>
          <w:sz w:val="26"/>
          <w:szCs w:val="26"/>
        </w:rPr>
        <w:t xml:space="preserve">courante </w:t>
      </w:r>
      <w:r w:rsidR="00E26148">
        <w:rPr>
          <w:sz w:val="26"/>
          <w:szCs w:val="26"/>
        </w:rPr>
        <w:t xml:space="preserve">– mais pas généralisée - </w:t>
      </w:r>
      <w:r w:rsidR="0067046A">
        <w:rPr>
          <w:sz w:val="26"/>
          <w:szCs w:val="26"/>
        </w:rPr>
        <w:t>sur les marchés boursiers</w:t>
      </w:r>
      <w:r w:rsidR="00766551" w:rsidRPr="00766551">
        <w:rPr>
          <w:sz w:val="26"/>
          <w:szCs w:val="26"/>
        </w:rPr>
        <w:t>.</w:t>
      </w:r>
      <w:r w:rsidR="00766551">
        <w:rPr>
          <w:sz w:val="26"/>
          <w:szCs w:val="26"/>
        </w:rPr>
        <w:t xml:space="preserve"> </w:t>
      </w:r>
    </w:p>
    <w:p w:rsidR="00227A2B" w:rsidRDefault="0067046A" w:rsidP="00543BA8">
      <w:pPr>
        <w:ind w:left="360"/>
        <w:jc w:val="both"/>
        <w:rPr>
          <w:sz w:val="26"/>
          <w:szCs w:val="26"/>
        </w:rPr>
      </w:pPr>
      <w:r>
        <w:rPr>
          <w:sz w:val="26"/>
          <w:szCs w:val="26"/>
        </w:rPr>
        <w:t xml:space="preserve">L’idée n’était pas que les entreprises n’étaient pas en mesure de verser de dividendes pour l’exercice 2019 </w:t>
      </w:r>
      <w:r w:rsidR="00766551">
        <w:rPr>
          <w:sz w:val="26"/>
          <w:szCs w:val="26"/>
        </w:rPr>
        <w:t>(celui-ci étai</w:t>
      </w:r>
      <w:r w:rsidR="00736ED9">
        <w:rPr>
          <w:sz w:val="26"/>
          <w:szCs w:val="26"/>
        </w:rPr>
        <w:t>t clôturé</w:t>
      </w:r>
      <w:r w:rsidR="00766551">
        <w:rPr>
          <w:sz w:val="26"/>
          <w:szCs w:val="26"/>
        </w:rPr>
        <w:t xml:space="preserve">) </w:t>
      </w:r>
      <w:r>
        <w:rPr>
          <w:sz w:val="26"/>
          <w:szCs w:val="26"/>
        </w:rPr>
        <w:t>mais bien que leur distribution risquait de mettre à mal le</w:t>
      </w:r>
      <w:r w:rsidR="00A327BF">
        <w:rPr>
          <w:sz w:val="26"/>
          <w:szCs w:val="26"/>
        </w:rPr>
        <w:t>s équilibres financiers pour les exercices futurs</w:t>
      </w:r>
      <w:r>
        <w:rPr>
          <w:sz w:val="26"/>
          <w:szCs w:val="26"/>
        </w:rPr>
        <w:t>.</w:t>
      </w:r>
      <w:r w:rsidR="003570A0">
        <w:rPr>
          <w:sz w:val="26"/>
          <w:szCs w:val="26"/>
        </w:rPr>
        <w:t xml:space="preserve"> </w:t>
      </w:r>
      <w:r w:rsidR="001B605D">
        <w:rPr>
          <w:sz w:val="26"/>
          <w:szCs w:val="26"/>
        </w:rPr>
        <w:t xml:space="preserve">Les premières annonces de suppression et de révision à la baisse des dividendes versés </w:t>
      </w:r>
      <w:r w:rsidR="00BE6BDA">
        <w:rPr>
          <w:sz w:val="26"/>
          <w:szCs w:val="26"/>
        </w:rPr>
        <w:t>ont été lourdement sanctionnées par les marchés. Ainsi</w:t>
      </w:r>
      <w:r w:rsidR="00646A95">
        <w:rPr>
          <w:sz w:val="26"/>
          <w:szCs w:val="26"/>
        </w:rPr>
        <w:t xml:space="preserve">, pour les révisions </w:t>
      </w:r>
      <w:r w:rsidR="00A327BF">
        <w:rPr>
          <w:sz w:val="26"/>
          <w:szCs w:val="26"/>
        </w:rPr>
        <w:t>à la baisse</w:t>
      </w:r>
      <w:r w:rsidR="00646A95">
        <w:rPr>
          <w:sz w:val="26"/>
          <w:szCs w:val="26"/>
        </w:rPr>
        <w:t>,</w:t>
      </w:r>
      <w:r w:rsidR="00BE6BDA">
        <w:rPr>
          <w:sz w:val="26"/>
          <w:szCs w:val="26"/>
        </w:rPr>
        <w:t xml:space="preserve"> SES perdait 27% le 2 </w:t>
      </w:r>
      <w:r w:rsidR="00646A95">
        <w:rPr>
          <w:sz w:val="26"/>
          <w:szCs w:val="26"/>
        </w:rPr>
        <w:t xml:space="preserve">mars (le marché perdait 0,75%) et, pour les annulations, Europcar perdait 8% et Airbus 14% le 23 mars (le marché perdait 3,5% ce jour-là). </w:t>
      </w:r>
      <w:r w:rsidR="00227A2B">
        <w:rPr>
          <w:sz w:val="26"/>
          <w:szCs w:val="26"/>
        </w:rPr>
        <w:t>En dépit du fait que les entreprises propos</w:t>
      </w:r>
      <w:r w:rsidR="00543BA8">
        <w:rPr>
          <w:sz w:val="26"/>
          <w:szCs w:val="26"/>
        </w:rPr>
        <w:t>ai</w:t>
      </w:r>
      <w:r w:rsidR="00227A2B">
        <w:rPr>
          <w:sz w:val="26"/>
          <w:szCs w:val="26"/>
        </w:rPr>
        <w:t xml:space="preserve">ent un emballage discursif </w:t>
      </w:r>
      <w:r w:rsidR="00543BA8">
        <w:rPr>
          <w:sz w:val="26"/>
          <w:szCs w:val="26"/>
        </w:rPr>
        <w:t xml:space="preserve">à orientation </w:t>
      </w:r>
      <w:r w:rsidR="00227A2B">
        <w:rPr>
          <w:sz w:val="26"/>
          <w:szCs w:val="26"/>
        </w:rPr>
        <w:t>rassurant</w:t>
      </w:r>
      <w:r w:rsidR="00543BA8">
        <w:rPr>
          <w:sz w:val="26"/>
          <w:szCs w:val="26"/>
        </w:rPr>
        <w:t>e</w:t>
      </w:r>
      <w:r w:rsidR="00227A2B">
        <w:rPr>
          <w:sz w:val="26"/>
          <w:szCs w:val="26"/>
        </w:rPr>
        <w:t>, il s’agi</w:t>
      </w:r>
      <w:r w:rsidR="00543BA8">
        <w:rPr>
          <w:sz w:val="26"/>
          <w:szCs w:val="26"/>
        </w:rPr>
        <w:t>ssai</w:t>
      </w:r>
      <w:r w:rsidR="00227A2B">
        <w:rPr>
          <w:sz w:val="26"/>
          <w:szCs w:val="26"/>
        </w:rPr>
        <w:t>t pour les opérateur</w:t>
      </w:r>
      <w:r w:rsidR="00543BA8">
        <w:rPr>
          <w:sz w:val="26"/>
          <w:szCs w:val="26"/>
        </w:rPr>
        <w:t>s</w:t>
      </w:r>
      <w:r w:rsidR="00227A2B">
        <w:rPr>
          <w:sz w:val="26"/>
          <w:szCs w:val="26"/>
        </w:rPr>
        <w:t xml:space="preserve"> </w:t>
      </w:r>
      <w:r w:rsidR="00543BA8">
        <w:rPr>
          <w:sz w:val="26"/>
          <w:szCs w:val="26"/>
        </w:rPr>
        <w:t xml:space="preserve">financiers </w:t>
      </w:r>
      <w:r w:rsidR="00227A2B">
        <w:rPr>
          <w:sz w:val="26"/>
          <w:szCs w:val="26"/>
        </w:rPr>
        <w:t xml:space="preserve">d’un aveu de faiblesse. </w:t>
      </w:r>
      <w:r w:rsidR="00646A95">
        <w:rPr>
          <w:sz w:val="26"/>
          <w:szCs w:val="26"/>
        </w:rPr>
        <w:t>De manière un peu paradoxale, même certaines entreprises qu</w:t>
      </w:r>
      <w:r w:rsidR="00543BA8">
        <w:rPr>
          <w:sz w:val="26"/>
          <w:szCs w:val="26"/>
        </w:rPr>
        <w:t>i maintenaien</w:t>
      </w:r>
      <w:r w:rsidR="00646A95">
        <w:rPr>
          <w:sz w:val="26"/>
          <w:szCs w:val="26"/>
        </w:rPr>
        <w:t>t la distribution de leurs dividendes</w:t>
      </w:r>
      <w:r w:rsidR="00227A2B">
        <w:rPr>
          <w:sz w:val="26"/>
          <w:szCs w:val="26"/>
        </w:rPr>
        <w:t xml:space="preserve"> </w:t>
      </w:r>
      <w:r w:rsidR="00646A95">
        <w:rPr>
          <w:sz w:val="26"/>
          <w:szCs w:val="26"/>
        </w:rPr>
        <w:t xml:space="preserve">ont </w:t>
      </w:r>
      <w:r w:rsidR="00227A2B">
        <w:rPr>
          <w:sz w:val="26"/>
          <w:szCs w:val="26"/>
        </w:rPr>
        <w:t xml:space="preserve">été </w:t>
      </w:r>
      <w:r w:rsidR="00646A95">
        <w:rPr>
          <w:sz w:val="26"/>
          <w:szCs w:val="26"/>
        </w:rPr>
        <w:t>sanctionnées par les opérateurs : par exemple, chute de 6,3% d’Ipsen le 25 ma</w:t>
      </w:r>
      <w:r w:rsidR="00E40C2D">
        <w:rPr>
          <w:sz w:val="26"/>
          <w:szCs w:val="26"/>
        </w:rPr>
        <w:t>rs (gain de 4% pour le marché) mais la tendance est moins marquée que pour les annulations et les révisions à la baisse (</w:t>
      </w:r>
      <w:r w:rsidR="0025773B">
        <w:rPr>
          <w:sz w:val="26"/>
          <w:szCs w:val="26"/>
        </w:rPr>
        <w:t xml:space="preserve">par exemple, </w:t>
      </w:r>
      <w:r w:rsidR="00E40C2D">
        <w:rPr>
          <w:sz w:val="26"/>
          <w:szCs w:val="26"/>
        </w:rPr>
        <w:t xml:space="preserve">l’annonce du maintien du niveau de dividendes par Bolloré le 12 mars a été suivie d’une chute de 10,5% </w:t>
      </w:r>
      <w:r w:rsidR="000263E6">
        <w:rPr>
          <w:sz w:val="26"/>
          <w:szCs w:val="26"/>
        </w:rPr>
        <w:t xml:space="preserve">de la valorisation boursière du groupe </w:t>
      </w:r>
      <w:r w:rsidR="00E40C2D">
        <w:rPr>
          <w:sz w:val="26"/>
          <w:szCs w:val="26"/>
        </w:rPr>
        <w:t>mais, le même jour, le marché perdait plus de 12%).</w:t>
      </w:r>
      <w:r w:rsidR="00543BA8">
        <w:rPr>
          <w:sz w:val="26"/>
          <w:szCs w:val="26"/>
        </w:rPr>
        <w:t xml:space="preserve"> </w:t>
      </w:r>
      <w:r w:rsidR="00227A2B">
        <w:rPr>
          <w:sz w:val="26"/>
          <w:szCs w:val="26"/>
        </w:rPr>
        <w:t xml:space="preserve">Sur </w:t>
      </w:r>
      <w:r w:rsidR="00D07659">
        <w:rPr>
          <w:sz w:val="26"/>
          <w:szCs w:val="26"/>
        </w:rPr>
        <w:t xml:space="preserve">cette base, une première salve d’interrogations pourrait porter sur les réactions boursières suite à l’ensemble des annonces en lien avec les dividendes (maintien, réduction ou confirmation). </w:t>
      </w:r>
    </w:p>
    <w:p w:rsidR="006A07CA" w:rsidRDefault="003A3303" w:rsidP="005D2390">
      <w:pPr>
        <w:ind w:left="360"/>
        <w:jc w:val="both"/>
        <w:rPr>
          <w:sz w:val="26"/>
          <w:szCs w:val="26"/>
        </w:rPr>
      </w:pPr>
      <w:r>
        <w:rPr>
          <w:sz w:val="26"/>
          <w:szCs w:val="26"/>
        </w:rPr>
        <w:t xml:space="preserve">Si cette approche </w:t>
      </w:r>
      <w:r w:rsidR="00A327BF">
        <w:rPr>
          <w:sz w:val="26"/>
          <w:szCs w:val="26"/>
        </w:rPr>
        <w:t xml:space="preserve">peut </w:t>
      </w:r>
      <w:r>
        <w:rPr>
          <w:sz w:val="26"/>
          <w:szCs w:val="26"/>
        </w:rPr>
        <w:t>paraît</w:t>
      </w:r>
      <w:r w:rsidR="00A327BF">
        <w:rPr>
          <w:sz w:val="26"/>
          <w:szCs w:val="26"/>
        </w:rPr>
        <w:t>re classiqu</w:t>
      </w:r>
      <w:r>
        <w:rPr>
          <w:sz w:val="26"/>
          <w:szCs w:val="26"/>
        </w:rPr>
        <w:t>e du fait de l’homogénéité des annonces faites aux marché</w:t>
      </w:r>
      <w:r w:rsidR="00736ED9">
        <w:rPr>
          <w:sz w:val="26"/>
          <w:szCs w:val="26"/>
        </w:rPr>
        <w:t xml:space="preserve">s, elle va être </w:t>
      </w:r>
      <w:r>
        <w:rPr>
          <w:sz w:val="26"/>
          <w:szCs w:val="26"/>
        </w:rPr>
        <w:t>brouillée par la communication institutionnelle. En effet, l</w:t>
      </w:r>
      <w:r w:rsidR="006A07CA">
        <w:rPr>
          <w:sz w:val="26"/>
          <w:szCs w:val="26"/>
        </w:rPr>
        <w:t>’intervention de l’Etat français couplée à celle d’institutions financières</w:t>
      </w:r>
      <w:r w:rsidR="00736ED9">
        <w:rPr>
          <w:sz w:val="26"/>
          <w:szCs w:val="26"/>
        </w:rPr>
        <w:t xml:space="preserve"> supra nationales</w:t>
      </w:r>
      <w:r w:rsidR="006A07CA">
        <w:rPr>
          <w:sz w:val="26"/>
          <w:szCs w:val="26"/>
        </w:rPr>
        <w:t xml:space="preserve"> le 27 mars vont provoquer, par leur côté rassurant</w:t>
      </w:r>
      <w:r w:rsidR="00435F3E">
        <w:rPr>
          <w:sz w:val="26"/>
          <w:szCs w:val="26"/>
        </w:rPr>
        <w:t xml:space="preserve"> bien que ferme</w:t>
      </w:r>
      <w:r w:rsidR="006A07CA">
        <w:rPr>
          <w:sz w:val="26"/>
          <w:szCs w:val="26"/>
        </w:rPr>
        <w:t>, un changement de paradigmes sur les marchés financiers</w:t>
      </w:r>
      <w:r w:rsidR="00435F3E">
        <w:rPr>
          <w:sz w:val="26"/>
          <w:szCs w:val="26"/>
        </w:rPr>
        <w:t>. Ainsi, Bruno Lemaire précise que « </w:t>
      </w:r>
      <w:r w:rsidR="00435F3E" w:rsidRPr="00435F3E">
        <w:rPr>
          <w:i/>
          <w:sz w:val="26"/>
          <w:szCs w:val="26"/>
        </w:rPr>
        <w:t>toutes les entreprises qui auraient bénéficié de reports de charges sociales ou fiscales et qui auraient versé des dividendes se verront obligées de rembourser cette avance de trésorerie sur les charges sociales et fiscales avec une pénalité d'intérêt. Dans le même sens, pour les entreprises dont il est actionnaire, l’Etat se prononcera également contre le paiement de dividendes cette année. Par ailleurs, en ce qui concerne les entreprises qui ont recours au chômage partiel, le gouvernement demande « la plus grande modération » quant au versement d</w:t>
      </w:r>
      <w:r w:rsidR="00435F3E">
        <w:rPr>
          <w:i/>
          <w:sz w:val="26"/>
          <w:szCs w:val="26"/>
        </w:rPr>
        <w:t xml:space="preserve">es dividendes </w:t>
      </w:r>
      <w:r w:rsidR="00435F3E">
        <w:rPr>
          <w:sz w:val="26"/>
          <w:szCs w:val="26"/>
        </w:rPr>
        <w:t>».</w:t>
      </w:r>
      <w:r w:rsidR="005D2390">
        <w:rPr>
          <w:sz w:val="26"/>
          <w:szCs w:val="26"/>
        </w:rPr>
        <w:t xml:space="preserve"> </w:t>
      </w:r>
      <w:r w:rsidR="00435F3E">
        <w:rPr>
          <w:sz w:val="26"/>
          <w:szCs w:val="26"/>
        </w:rPr>
        <w:t xml:space="preserve">En outre, parallèlement, </w:t>
      </w:r>
      <w:r w:rsidR="00435F3E" w:rsidRPr="00435F3E">
        <w:rPr>
          <w:sz w:val="26"/>
          <w:szCs w:val="26"/>
        </w:rPr>
        <w:t>la BCE et l'AEAPP (Autorité européenne des assurances et des pensions professionnelles) ont demandé aux banques et aux assureurs de ne pas verser de dividendes, au moins avant le 1er octobre 2020</w:t>
      </w:r>
      <w:r w:rsidR="00435F3E">
        <w:rPr>
          <w:sz w:val="26"/>
          <w:szCs w:val="26"/>
        </w:rPr>
        <w:t xml:space="preserve">. </w:t>
      </w:r>
      <w:r w:rsidR="005D2390">
        <w:rPr>
          <w:sz w:val="26"/>
          <w:szCs w:val="26"/>
        </w:rPr>
        <w:t xml:space="preserve">Enfin, l’AFEP, </w:t>
      </w:r>
      <w:r w:rsidR="005D2390" w:rsidRPr="005D2390">
        <w:rPr>
          <w:sz w:val="26"/>
          <w:szCs w:val="26"/>
        </w:rPr>
        <w:t>organisme regroupant 113 entreprises pri</w:t>
      </w:r>
      <w:r w:rsidR="005D2390">
        <w:rPr>
          <w:sz w:val="26"/>
          <w:szCs w:val="26"/>
        </w:rPr>
        <w:t>vées françaises</w:t>
      </w:r>
      <w:r w:rsidR="005D2390" w:rsidRPr="005D2390">
        <w:rPr>
          <w:sz w:val="26"/>
          <w:szCs w:val="26"/>
        </w:rPr>
        <w:t>, a appelé ses membres à diminuer de 20% les dividendes à payer en 2020</w:t>
      </w:r>
      <w:r w:rsidR="005D2390">
        <w:rPr>
          <w:sz w:val="26"/>
          <w:szCs w:val="26"/>
        </w:rPr>
        <w:t>,</w:t>
      </w:r>
      <w:r w:rsidR="005D2390" w:rsidRPr="005D2390">
        <w:rPr>
          <w:sz w:val="26"/>
          <w:szCs w:val="26"/>
        </w:rPr>
        <w:t xml:space="preserve"> s'ils ont recours au chômage partiel</w:t>
      </w:r>
      <w:r w:rsidR="005D2390">
        <w:rPr>
          <w:sz w:val="26"/>
          <w:szCs w:val="26"/>
        </w:rPr>
        <w:t xml:space="preserve"> (Journal Du Dimanche, 4 avril 2020).</w:t>
      </w:r>
    </w:p>
    <w:p w:rsidR="00435F3E" w:rsidRDefault="00435F3E" w:rsidP="00435F3E">
      <w:pPr>
        <w:ind w:left="360"/>
        <w:jc w:val="both"/>
        <w:rPr>
          <w:sz w:val="26"/>
          <w:szCs w:val="26"/>
        </w:rPr>
      </w:pPr>
      <w:r>
        <w:rPr>
          <w:sz w:val="26"/>
          <w:szCs w:val="26"/>
        </w:rPr>
        <w:t xml:space="preserve">En </w:t>
      </w:r>
      <w:r w:rsidR="005D2390">
        <w:rPr>
          <w:sz w:val="26"/>
          <w:szCs w:val="26"/>
        </w:rPr>
        <w:t>fonction de cette triple</w:t>
      </w:r>
      <w:r>
        <w:rPr>
          <w:sz w:val="26"/>
          <w:szCs w:val="26"/>
        </w:rPr>
        <w:t xml:space="preserve"> </w:t>
      </w:r>
      <w:r w:rsidR="005D2390">
        <w:rPr>
          <w:sz w:val="26"/>
          <w:szCs w:val="26"/>
        </w:rPr>
        <w:t xml:space="preserve">mise au point, </w:t>
      </w:r>
      <w:r>
        <w:rPr>
          <w:sz w:val="26"/>
          <w:szCs w:val="26"/>
        </w:rPr>
        <w:t>les annulations et les révisions à la baisse de la rém</w:t>
      </w:r>
      <w:r w:rsidR="00E95DD6">
        <w:rPr>
          <w:sz w:val="26"/>
          <w:szCs w:val="26"/>
        </w:rPr>
        <w:t>unération des actionnaires ne seraie</w:t>
      </w:r>
      <w:r>
        <w:rPr>
          <w:sz w:val="26"/>
          <w:szCs w:val="26"/>
        </w:rPr>
        <w:t>nt plus</w:t>
      </w:r>
      <w:r w:rsidR="005D2390">
        <w:rPr>
          <w:sz w:val="26"/>
          <w:szCs w:val="26"/>
        </w:rPr>
        <w:t>, en quelque sorte,</w:t>
      </w:r>
      <w:r>
        <w:rPr>
          <w:sz w:val="26"/>
          <w:szCs w:val="26"/>
        </w:rPr>
        <w:t xml:space="preserve"> directement imputables aux entreprises mais </w:t>
      </w:r>
      <w:r w:rsidR="00736ED9">
        <w:rPr>
          <w:sz w:val="26"/>
          <w:szCs w:val="26"/>
        </w:rPr>
        <w:t>légitimées par</w:t>
      </w:r>
      <w:r>
        <w:rPr>
          <w:sz w:val="26"/>
          <w:szCs w:val="26"/>
        </w:rPr>
        <w:t xml:space="preserve"> l’intervention d’opérateurs institutionnels plus ou moins exogènes</w:t>
      </w:r>
      <w:r w:rsidR="00260A5D">
        <w:rPr>
          <w:sz w:val="26"/>
          <w:szCs w:val="26"/>
        </w:rPr>
        <w:t xml:space="preserve"> à la sphère entrepreneuriale</w:t>
      </w:r>
      <w:r>
        <w:rPr>
          <w:sz w:val="26"/>
          <w:szCs w:val="26"/>
        </w:rPr>
        <w:t>.</w:t>
      </w:r>
      <w:r w:rsidR="00B90D0F">
        <w:rPr>
          <w:sz w:val="26"/>
          <w:szCs w:val="26"/>
        </w:rPr>
        <w:t xml:space="preserve"> De plus, le message institutionnel</w:t>
      </w:r>
      <w:r w:rsidR="007F1EAB">
        <w:rPr>
          <w:sz w:val="26"/>
          <w:szCs w:val="26"/>
        </w:rPr>
        <w:t xml:space="preserve"> sous-jacent est que les entreprises </w:t>
      </w:r>
      <w:r w:rsidR="005D2390">
        <w:rPr>
          <w:sz w:val="26"/>
          <w:szCs w:val="26"/>
        </w:rPr>
        <w:t>doivent faire preuve de solidarité et privilégier</w:t>
      </w:r>
      <w:r w:rsidR="00B90D0F">
        <w:rPr>
          <w:sz w:val="26"/>
          <w:szCs w:val="26"/>
        </w:rPr>
        <w:t xml:space="preserve"> une approche partenariale en fai</w:t>
      </w:r>
      <w:r w:rsidR="007F1EAB">
        <w:rPr>
          <w:sz w:val="26"/>
          <w:szCs w:val="26"/>
        </w:rPr>
        <w:t>sant appel à leur</w:t>
      </w:r>
      <w:r w:rsidR="00B90D0F">
        <w:rPr>
          <w:sz w:val="26"/>
          <w:szCs w:val="26"/>
        </w:rPr>
        <w:t xml:space="preserve"> responsa</w:t>
      </w:r>
      <w:r w:rsidR="007F1EAB">
        <w:rPr>
          <w:sz w:val="26"/>
          <w:szCs w:val="26"/>
        </w:rPr>
        <w:t>bilité sociétale</w:t>
      </w:r>
      <w:r w:rsidR="00B90D0F">
        <w:rPr>
          <w:sz w:val="26"/>
          <w:szCs w:val="26"/>
        </w:rPr>
        <w:t>.</w:t>
      </w:r>
    </w:p>
    <w:p w:rsidR="00D07659" w:rsidRDefault="003E2530" w:rsidP="00D07659">
      <w:pPr>
        <w:ind w:left="360"/>
        <w:jc w:val="both"/>
        <w:rPr>
          <w:sz w:val="26"/>
          <w:szCs w:val="26"/>
        </w:rPr>
      </w:pPr>
      <w:r>
        <w:rPr>
          <w:sz w:val="26"/>
          <w:szCs w:val="26"/>
        </w:rPr>
        <w:t xml:space="preserve">Dans ce contexte – institutionnellement modifié – une </w:t>
      </w:r>
      <w:r w:rsidR="00254916">
        <w:rPr>
          <w:sz w:val="26"/>
          <w:szCs w:val="26"/>
        </w:rPr>
        <w:t>deuxième salve</w:t>
      </w:r>
      <w:r w:rsidR="00D07659">
        <w:rPr>
          <w:sz w:val="26"/>
          <w:szCs w:val="26"/>
        </w:rPr>
        <w:t xml:space="preserve"> d’interrogations serait orientée vers la réaction des marchés boursiers durant la période post 27 mars, avec l’idée que l’abandon du versement des dividendes ne constituerait plus un aveu de faiblesse stricto sensu</w:t>
      </w:r>
      <w:r w:rsidR="00254916">
        <w:rPr>
          <w:sz w:val="26"/>
          <w:szCs w:val="26"/>
        </w:rPr>
        <w:t xml:space="preserve"> et ne devrait </w:t>
      </w:r>
      <w:r w:rsidR="00804193">
        <w:rPr>
          <w:sz w:val="26"/>
          <w:szCs w:val="26"/>
        </w:rPr>
        <w:t xml:space="preserve">donc </w:t>
      </w:r>
      <w:r w:rsidR="00254916">
        <w:rPr>
          <w:sz w:val="26"/>
          <w:szCs w:val="26"/>
        </w:rPr>
        <w:t>pas briser la confiance dans les potentiels de performance de l’entreprise</w:t>
      </w:r>
      <w:r w:rsidR="00D07659">
        <w:rPr>
          <w:sz w:val="26"/>
          <w:szCs w:val="26"/>
        </w:rPr>
        <w:t>.</w:t>
      </w:r>
      <w:r>
        <w:rPr>
          <w:sz w:val="26"/>
          <w:szCs w:val="26"/>
        </w:rPr>
        <w:t xml:space="preserve"> </w:t>
      </w:r>
    </w:p>
    <w:p w:rsidR="00D64553" w:rsidRPr="00D07659" w:rsidRDefault="00D64553" w:rsidP="00D07659">
      <w:pPr>
        <w:pStyle w:val="Paragraphedeliste"/>
        <w:numPr>
          <w:ilvl w:val="0"/>
          <w:numId w:val="1"/>
        </w:numPr>
        <w:jc w:val="both"/>
        <w:rPr>
          <w:sz w:val="28"/>
          <w:szCs w:val="28"/>
          <w:u w:val="single"/>
        </w:rPr>
      </w:pPr>
      <w:r w:rsidRPr="00D07659">
        <w:rPr>
          <w:sz w:val="28"/>
          <w:szCs w:val="28"/>
          <w:u w:val="single"/>
        </w:rPr>
        <w:t>Etat de l’art</w:t>
      </w:r>
      <w:r w:rsidR="00254916">
        <w:rPr>
          <w:sz w:val="28"/>
          <w:szCs w:val="28"/>
          <w:u w:val="single"/>
        </w:rPr>
        <w:t xml:space="preserve"> et développement des questions de recherche</w:t>
      </w:r>
    </w:p>
    <w:p w:rsidR="00E95DD6" w:rsidRDefault="00C2233B" w:rsidP="00D07659">
      <w:pPr>
        <w:ind w:left="360"/>
        <w:jc w:val="both"/>
        <w:rPr>
          <w:sz w:val="26"/>
          <w:szCs w:val="26"/>
        </w:rPr>
      </w:pPr>
      <w:r>
        <w:rPr>
          <w:sz w:val="26"/>
          <w:szCs w:val="26"/>
        </w:rPr>
        <w:t>Comme nous pourrons le constater, l</w:t>
      </w:r>
      <w:r w:rsidR="00E95DD6">
        <w:rPr>
          <w:sz w:val="26"/>
          <w:szCs w:val="26"/>
        </w:rPr>
        <w:t xml:space="preserve">e COVID19 </w:t>
      </w:r>
      <w:r w:rsidR="008B1CDE">
        <w:rPr>
          <w:sz w:val="26"/>
          <w:szCs w:val="26"/>
        </w:rPr>
        <w:t>a brisé</w:t>
      </w:r>
      <w:r w:rsidR="00E95DD6">
        <w:rPr>
          <w:sz w:val="26"/>
          <w:szCs w:val="26"/>
        </w:rPr>
        <w:t xml:space="preserve"> les équilibres intellectuels relatifs à ce qui a pu </w:t>
      </w:r>
      <w:r w:rsidR="009529EE">
        <w:rPr>
          <w:sz w:val="26"/>
          <w:szCs w:val="26"/>
        </w:rPr>
        <w:t xml:space="preserve">historiquement </w:t>
      </w:r>
      <w:r w:rsidR="00E95DD6">
        <w:rPr>
          <w:sz w:val="26"/>
          <w:szCs w:val="26"/>
        </w:rPr>
        <w:t>s’écrire sur la politique de distribution des</w:t>
      </w:r>
      <w:r w:rsidR="00D07659">
        <w:rPr>
          <w:sz w:val="26"/>
          <w:szCs w:val="26"/>
        </w:rPr>
        <w:t xml:space="preserve"> dividendes</w:t>
      </w:r>
      <w:r w:rsidR="009529EE">
        <w:rPr>
          <w:sz w:val="26"/>
          <w:szCs w:val="26"/>
        </w:rPr>
        <w:t>. E</w:t>
      </w:r>
      <w:r w:rsidR="00D07659">
        <w:rPr>
          <w:sz w:val="26"/>
          <w:szCs w:val="26"/>
        </w:rPr>
        <w:t>n effet, les études cl</w:t>
      </w:r>
      <w:r w:rsidR="00A327BF">
        <w:rPr>
          <w:sz w:val="26"/>
          <w:szCs w:val="26"/>
        </w:rPr>
        <w:t>assiquement citées</w:t>
      </w:r>
      <w:r w:rsidR="00D07659">
        <w:rPr>
          <w:sz w:val="26"/>
          <w:szCs w:val="26"/>
        </w:rPr>
        <w:t xml:space="preserve"> ne prennent jamais en considération une telle proportion d’entreprise</w:t>
      </w:r>
      <w:r w:rsidR="00254916">
        <w:rPr>
          <w:sz w:val="26"/>
          <w:szCs w:val="26"/>
        </w:rPr>
        <w:t>s</w:t>
      </w:r>
      <w:r w:rsidR="00D07659">
        <w:rPr>
          <w:sz w:val="26"/>
          <w:szCs w:val="26"/>
        </w:rPr>
        <w:t xml:space="preserve"> qui, grosso modo, au même moment, décident de revoir leur politique de rémunération actionnariale. Il n’en demeure pas moins </w:t>
      </w:r>
      <w:r w:rsidR="00254916">
        <w:rPr>
          <w:sz w:val="26"/>
          <w:szCs w:val="26"/>
        </w:rPr>
        <w:t xml:space="preserve">que, </w:t>
      </w:r>
      <w:r w:rsidR="00D07659">
        <w:rPr>
          <w:sz w:val="26"/>
          <w:szCs w:val="26"/>
        </w:rPr>
        <w:t>pour la construc</w:t>
      </w:r>
      <w:r w:rsidR="00254916">
        <w:rPr>
          <w:sz w:val="26"/>
          <w:szCs w:val="26"/>
        </w:rPr>
        <w:t>tion de notre questionnement</w:t>
      </w:r>
      <w:r w:rsidR="00D07659">
        <w:rPr>
          <w:sz w:val="26"/>
          <w:szCs w:val="26"/>
        </w:rPr>
        <w:t xml:space="preserve"> de recherche, nous nous référons à un état de l’art </w:t>
      </w:r>
      <w:r w:rsidR="00736ED9">
        <w:rPr>
          <w:sz w:val="26"/>
          <w:szCs w:val="26"/>
        </w:rPr>
        <w:t xml:space="preserve">classique </w:t>
      </w:r>
      <w:r w:rsidR="00D07659">
        <w:rPr>
          <w:sz w:val="26"/>
          <w:szCs w:val="26"/>
        </w:rPr>
        <w:t xml:space="preserve">en </w:t>
      </w:r>
      <w:r w:rsidR="008B1CDE">
        <w:rPr>
          <w:sz w:val="26"/>
          <w:szCs w:val="26"/>
        </w:rPr>
        <w:t>faisant en sorte de positionner</w:t>
      </w:r>
      <w:r w:rsidR="00D07659">
        <w:rPr>
          <w:sz w:val="26"/>
          <w:szCs w:val="26"/>
        </w:rPr>
        <w:t xml:space="preserve"> </w:t>
      </w:r>
      <w:r w:rsidR="00C53271">
        <w:rPr>
          <w:sz w:val="26"/>
          <w:szCs w:val="26"/>
        </w:rPr>
        <w:t xml:space="preserve">principalement </w:t>
      </w:r>
      <w:r w:rsidR="00D07659">
        <w:rPr>
          <w:sz w:val="26"/>
          <w:szCs w:val="26"/>
        </w:rPr>
        <w:t xml:space="preserve">le curseur sur le contenu informationnel </w:t>
      </w:r>
      <w:r w:rsidR="009A1D07">
        <w:rPr>
          <w:sz w:val="26"/>
          <w:szCs w:val="26"/>
        </w:rPr>
        <w:t xml:space="preserve">lié aux </w:t>
      </w:r>
      <w:r w:rsidR="002C40CB">
        <w:rPr>
          <w:sz w:val="26"/>
          <w:szCs w:val="26"/>
        </w:rPr>
        <w:t>éventuels versements de dividendes</w:t>
      </w:r>
      <w:r w:rsidR="009A1D07">
        <w:rPr>
          <w:sz w:val="26"/>
          <w:szCs w:val="26"/>
        </w:rPr>
        <w:t>.</w:t>
      </w:r>
      <w:r w:rsidR="00D07659">
        <w:rPr>
          <w:sz w:val="26"/>
          <w:szCs w:val="26"/>
        </w:rPr>
        <w:t xml:space="preserve"> </w:t>
      </w:r>
      <w:r w:rsidR="00E95DD6">
        <w:rPr>
          <w:sz w:val="26"/>
          <w:szCs w:val="26"/>
        </w:rPr>
        <w:t xml:space="preserve"> </w:t>
      </w:r>
      <w:r w:rsidR="009A1D07">
        <w:rPr>
          <w:sz w:val="26"/>
          <w:szCs w:val="26"/>
        </w:rPr>
        <w:t>En fonction de la revue de la littérature et du contexte prévalant (exposé ci-dessus) lors des annonces relatives à la politique de distribution des dividendes, nous développerons</w:t>
      </w:r>
      <w:r w:rsidR="00C53271">
        <w:rPr>
          <w:sz w:val="26"/>
          <w:szCs w:val="26"/>
        </w:rPr>
        <w:t xml:space="preserve">, dans un premier temps, </w:t>
      </w:r>
      <w:r w:rsidR="009A1D07">
        <w:rPr>
          <w:sz w:val="26"/>
          <w:szCs w:val="26"/>
        </w:rPr>
        <w:t xml:space="preserve">deux grandes questions </w:t>
      </w:r>
      <w:r w:rsidR="00C53271">
        <w:rPr>
          <w:sz w:val="26"/>
          <w:szCs w:val="26"/>
        </w:rPr>
        <w:t>de recherche que nous testerons, dans un deuxième temps,</w:t>
      </w:r>
      <w:r w:rsidR="008B1CDE">
        <w:rPr>
          <w:sz w:val="26"/>
          <w:szCs w:val="26"/>
        </w:rPr>
        <w:t xml:space="preserve"> </w:t>
      </w:r>
      <w:r w:rsidR="009A1D07">
        <w:rPr>
          <w:sz w:val="26"/>
          <w:szCs w:val="26"/>
        </w:rPr>
        <w:t>empiriquement sur le marché français</w:t>
      </w:r>
      <w:r w:rsidR="00A327BF">
        <w:rPr>
          <w:sz w:val="26"/>
          <w:szCs w:val="26"/>
        </w:rPr>
        <w:t xml:space="preserve"> (les entreprises du SBF120)</w:t>
      </w:r>
      <w:r w:rsidR="009A1D07">
        <w:rPr>
          <w:sz w:val="26"/>
          <w:szCs w:val="26"/>
        </w:rPr>
        <w:t xml:space="preserve">. </w:t>
      </w:r>
    </w:p>
    <w:p w:rsidR="00182D49" w:rsidRDefault="001D3866" w:rsidP="00BA2A8A">
      <w:pPr>
        <w:ind w:left="360"/>
        <w:jc w:val="both"/>
        <w:rPr>
          <w:rFonts w:eastAsia="Times New Roman" w:cstheme="minorHAnsi"/>
          <w:sz w:val="26"/>
          <w:szCs w:val="26"/>
          <w:lang w:eastAsia="fr-BE"/>
        </w:rPr>
      </w:pPr>
      <w:r>
        <w:rPr>
          <w:sz w:val="26"/>
          <w:szCs w:val="26"/>
        </w:rPr>
        <w:t>Si les écrits originels de Modigliani et Miller</w:t>
      </w:r>
      <w:r w:rsidR="00607E3E">
        <w:rPr>
          <w:sz w:val="26"/>
          <w:szCs w:val="26"/>
        </w:rPr>
        <w:t xml:space="preserve"> (1961)</w:t>
      </w:r>
      <w:r w:rsidR="001336AA">
        <w:rPr>
          <w:sz w:val="26"/>
          <w:szCs w:val="26"/>
        </w:rPr>
        <w:t xml:space="preserve"> ont démontré</w:t>
      </w:r>
      <w:r>
        <w:rPr>
          <w:sz w:val="26"/>
          <w:szCs w:val="26"/>
        </w:rPr>
        <w:t xml:space="preserve"> l’absence de relation entre les dividendes versés</w:t>
      </w:r>
      <w:r w:rsidR="001336AA">
        <w:rPr>
          <w:sz w:val="26"/>
          <w:szCs w:val="26"/>
        </w:rPr>
        <w:t xml:space="preserve"> et la valeur de l’entreprise, d</w:t>
      </w:r>
      <w:r>
        <w:rPr>
          <w:sz w:val="26"/>
          <w:szCs w:val="26"/>
        </w:rPr>
        <w:t xml:space="preserve">es recherches plus contemporaines avancent que la politique de distribution et les contenus informationnels associés peuvent affecter la perception que les investisseurs possèdent de l’entreprise et, au final, la valorisation boursière de celle-ci. </w:t>
      </w:r>
      <w:r w:rsidR="005F7EDC">
        <w:rPr>
          <w:sz w:val="26"/>
          <w:szCs w:val="26"/>
        </w:rPr>
        <w:t>Même si, sur le plan international, les entreprises ont tendance à réduire les dividendes et préfèrent profiter d’opportunités de croissance</w:t>
      </w:r>
      <w:r w:rsidR="005F7EDC" w:rsidRPr="005F7EDC">
        <w:rPr>
          <w:rFonts w:ascii="Source Sans Pro" w:eastAsia="Times New Roman" w:hAnsi="Source Sans Pro" w:cs="Times New Roman"/>
          <w:b/>
          <w:sz w:val="24"/>
          <w:szCs w:val="24"/>
          <w:lang w:eastAsia="fr-BE"/>
        </w:rPr>
        <w:t xml:space="preserve"> </w:t>
      </w:r>
      <w:r w:rsidR="005F7EDC" w:rsidRPr="00736ED9">
        <w:rPr>
          <w:rFonts w:eastAsia="Times New Roman" w:cstheme="minorHAnsi"/>
          <w:sz w:val="26"/>
          <w:szCs w:val="26"/>
          <w:lang w:eastAsia="fr-BE"/>
        </w:rPr>
        <w:t>(Fatemi A., Bildik R. (2012))</w:t>
      </w:r>
      <w:r w:rsidR="005F7EDC" w:rsidRPr="00736ED9">
        <w:rPr>
          <w:rFonts w:cstheme="minorHAnsi"/>
          <w:sz w:val="26"/>
          <w:szCs w:val="26"/>
        </w:rPr>
        <w:t>,</w:t>
      </w:r>
      <w:r w:rsidR="005F7EDC">
        <w:rPr>
          <w:sz w:val="26"/>
          <w:szCs w:val="26"/>
        </w:rPr>
        <w:t xml:space="preserve"> le contenu informationnel en lien avec les versements de dividendes a été envisagé dans plusieurs contextes. </w:t>
      </w:r>
      <w:r w:rsidR="004D3563">
        <w:rPr>
          <w:sz w:val="26"/>
          <w:szCs w:val="26"/>
        </w:rPr>
        <w:t xml:space="preserve">Ainsi, l’étude de </w:t>
      </w:r>
      <w:r w:rsidR="004D3563" w:rsidRPr="004D3563">
        <w:rPr>
          <w:sz w:val="26"/>
          <w:szCs w:val="26"/>
        </w:rPr>
        <w:t>Ham C., Kaplan Z., Leary M. (2020) démontre</w:t>
      </w:r>
      <w:r w:rsidR="004144F5">
        <w:rPr>
          <w:sz w:val="26"/>
          <w:szCs w:val="26"/>
        </w:rPr>
        <w:t>, sur le marché américain,</w:t>
      </w:r>
      <w:r w:rsidR="004D3563" w:rsidRPr="004D3563">
        <w:rPr>
          <w:sz w:val="26"/>
          <w:szCs w:val="26"/>
        </w:rPr>
        <w:t xml:space="preserve"> </w:t>
      </w:r>
      <w:r w:rsidR="004D3563">
        <w:rPr>
          <w:sz w:val="26"/>
          <w:szCs w:val="26"/>
        </w:rPr>
        <w:t>que les entreprises qui versent des dividendes sont caractérisées par des mouvements de valeur et des volumes échangés moins importants lors de l’annonce des résultats annuels que les entreprises qui n’en distribuent pas.</w:t>
      </w:r>
      <w:r w:rsidR="004144F5">
        <w:rPr>
          <w:sz w:val="26"/>
          <w:szCs w:val="26"/>
        </w:rPr>
        <w:t xml:space="preserve"> </w:t>
      </w:r>
      <w:r w:rsidR="00DB10ED">
        <w:rPr>
          <w:sz w:val="26"/>
          <w:szCs w:val="26"/>
        </w:rPr>
        <w:t xml:space="preserve">La politique de distribution donnerait donc un signal sur l’évolution de la performance dans le futur. </w:t>
      </w:r>
      <w:r w:rsidR="002D1865" w:rsidRPr="00F050BF">
        <w:rPr>
          <w:rFonts w:ascii="Source Sans Pro" w:eastAsia="Times New Roman" w:hAnsi="Source Sans Pro" w:cs="Times New Roman"/>
          <w:sz w:val="26"/>
          <w:szCs w:val="26"/>
          <w:lang w:eastAsia="fr-BE"/>
        </w:rPr>
        <w:t>Best R., Best R. (2001)</w:t>
      </w:r>
      <w:r w:rsidR="002D1865">
        <w:rPr>
          <w:rFonts w:ascii="Source Sans Pro" w:eastAsia="Times New Roman" w:hAnsi="Source Sans Pro" w:cs="Times New Roman"/>
          <w:sz w:val="26"/>
          <w:szCs w:val="26"/>
          <w:lang w:eastAsia="fr-BE"/>
        </w:rPr>
        <w:t xml:space="preserve"> avancent que les annonces de modifications dans les dividendes versés fournissent aux opérateurs boursiers la possibilité de différenc</w:t>
      </w:r>
      <w:r w:rsidR="00AD7081">
        <w:rPr>
          <w:rFonts w:ascii="Source Sans Pro" w:eastAsia="Times New Roman" w:hAnsi="Source Sans Pro" w:cs="Times New Roman"/>
          <w:sz w:val="26"/>
          <w:szCs w:val="26"/>
          <w:lang w:eastAsia="fr-BE"/>
        </w:rPr>
        <w:t>ier les entreprises sur base de leurs</w:t>
      </w:r>
      <w:r w:rsidR="002D1865">
        <w:rPr>
          <w:rFonts w:ascii="Source Sans Pro" w:eastAsia="Times New Roman" w:hAnsi="Source Sans Pro" w:cs="Times New Roman"/>
          <w:sz w:val="26"/>
          <w:szCs w:val="26"/>
          <w:lang w:eastAsia="fr-BE"/>
        </w:rPr>
        <w:t xml:space="preserve"> performances futures.</w:t>
      </w:r>
      <w:r w:rsidR="00F050BF">
        <w:rPr>
          <w:sz w:val="26"/>
          <w:szCs w:val="26"/>
        </w:rPr>
        <w:t xml:space="preserve"> </w:t>
      </w:r>
      <w:r w:rsidR="004144F5">
        <w:rPr>
          <w:sz w:val="26"/>
          <w:szCs w:val="26"/>
        </w:rPr>
        <w:t>Sur le marché tunisien, Lofti T. (2018) avance que c’est le contenu informationnel lié à une réduction des dividendes qui entraînerait une réaction négative des investisseurs.</w:t>
      </w:r>
      <w:r w:rsidR="006F4B57">
        <w:rPr>
          <w:sz w:val="26"/>
          <w:szCs w:val="26"/>
        </w:rPr>
        <w:t xml:space="preserve"> </w:t>
      </w:r>
      <w:r w:rsidR="006F4B57" w:rsidRPr="006F4B57">
        <w:rPr>
          <w:sz w:val="26"/>
          <w:szCs w:val="26"/>
        </w:rPr>
        <w:t>Khalil Al-Shattarat</w:t>
      </w:r>
      <w:r w:rsidR="006F4B57">
        <w:rPr>
          <w:sz w:val="26"/>
          <w:szCs w:val="26"/>
        </w:rPr>
        <w:t xml:space="preserve"> W., </w:t>
      </w:r>
      <w:r w:rsidR="006F4B57" w:rsidRPr="006F4B57">
        <w:rPr>
          <w:sz w:val="26"/>
          <w:szCs w:val="26"/>
        </w:rPr>
        <w:t>Khalil Al-Shattarat</w:t>
      </w:r>
      <w:r w:rsidR="006F4B57">
        <w:rPr>
          <w:sz w:val="26"/>
          <w:szCs w:val="26"/>
        </w:rPr>
        <w:t xml:space="preserve"> B., </w:t>
      </w:r>
      <w:r w:rsidR="006F4B57" w:rsidRPr="006F4B57">
        <w:rPr>
          <w:sz w:val="26"/>
          <w:szCs w:val="26"/>
        </w:rPr>
        <w:t>Hamed</w:t>
      </w:r>
      <w:r w:rsidR="006F4B57">
        <w:rPr>
          <w:sz w:val="26"/>
          <w:szCs w:val="26"/>
        </w:rPr>
        <w:t xml:space="preserve"> R. (2018), sur le marché jordanien, valident l’hypothèse d’un contenu informationnel associé aux dividendes : les investisseurs percevraient, par l’intermédiaire des dividendes versés, le signal envoyé aux marchés quant à la performance future de l’entreprise.</w:t>
      </w:r>
      <w:r w:rsidR="00A43F40">
        <w:rPr>
          <w:sz w:val="26"/>
          <w:szCs w:val="26"/>
        </w:rPr>
        <w:t xml:space="preserve"> </w:t>
      </w:r>
      <w:r w:rsidR="003C4CA8">
        <w:rPr>
          <w:sz w:val="26"/>
          <w:szCs w:val="26"/>
        </w:rPr>
        <w:t>Sur</w:t>
      </w:r>
      <w:r w:rsidR="00B43027">
        <w:rPr>
          <w:sz w:val="26"/>
          <w:szCs w:val="26"/>
        </w:rPr>
        <w:t xml:space="preserve"> le marché du MENA (Middle East North Africa)</w:t>
      </w:r>
      <w:r w:rsidR="003C4CA8">
        <w:rPr>
          <w:sz w:val="26"/>
          <w:szCs w:val="26"/>
        </w:rPr>
        <w:t xml:space="preserve">, </w:t>
      </w:r>
      <w:r w:rsidR="003C4CA8" w:rsidRPr="003C4CA8">
        <w:rPr>
          <w:sz w:val="26"/>
          <w:szCs w:val="26"/>
        </w:rPr>
        <w:t>Jabbouri I. (2016)</w:t>
      </w:r>
      <w:r w:rsidR="003C4CA8">
        <w:rPr>
          <w:sz w:val="26"/>
          <w:szCs w:val="26"/>
        </w:rPr>
        <w:t xml:space="preserve"> indique que la politique de distribution dépend positivement de la taille des entreprises, de leurs niveaux de liquidité et nég</w:t>
      </w:r>
      <w:r w:rsidR="0049567F">
        <w:rPr>
          <w:sz w:val="26"/>
          <w:szCs w:val="26"/>
        </w:rPr>
        <w:t>ativement avec la croissance, du</w:t>
      </w:r>
      <w:r w:rsidR="003C4CA8">
        <w:rPr>
          <w:sz w:val="26"/>
          <w:szCs w:val="26"/>
        </w:rPr>
        <w:t xml:space="preserve"> </w:t>
      </w:r>
      <w:r w:rsidR="00A50A6C">
        <w:rPr>
          <w:sz w:val="26"/>
          <w:szCs w:val="26"/>
        </w:rPr>
        <w:t>cash-flow</w:t>
      </w:r>
      <w:r w:rsidR="001A1F76">
        <w:rPr>
          <w:sz w:val="26"/>
          <w:szCs w:val="26"/>
        </w:rPr>
        <w:t xml:space="preserve"> libre, </w:t>
      </w:r>
      <w:r w:rsidR="0049567F">
        <w:rPr>
          <w:sz w:val="26"/>
          <w:szCs w:val="26"/>
        </w:rPr>
        <w:t xml:space="preserve">de </w:t>
      </w:r>
      <w:r w:rsidR="001A1F76">
        <w:rPr>
          <w:sz w:val="26"/>
          <w:szCs w:val="26"/>
        </w:rPr>
        <w:t>la croissance ainsi que</w:t>
      </w:r>
      <w:r w:rsidR="003C4CA8">
        <w:rPr>
          <w:sz w:val="26"/>
          <w:szCs w:val="26"/>
        </w:rPr>
        <w:t xml:space="preserve"> </w:t>
      </w:r>
      <w:r w:rsidR="0049567F">
        <w:rPr>
          <w:sz w:val="26"/>
          <w:szCs w:val="26"/>
        </w:rPr>
        <w:t xml:space="preserve">de </w:t>
      </w:r>
      <w:r w:rsidR="003C4CA8">
        <w:rPr>
          <w:sz w:val="26"/>
          <w:szCs w:val="26"/>
        </w:rPr>
        <w:t xml:space="preserve">l’état général de l’économie. </w:t>
      </w:r>
      <w:r w:rsidR="004C72A9" w:rsidRPr="004C72A9">
        <w:rPr>
          <w:sz w:val="26"/>
          <w:szCs w:val="26"/>
        </w:rPr>
        <w:t>Benavides J., Berggrun L., Perafan H. (2016</w:t>
      </w:r>
      <w:r w:rsidR="00AD7081">
        <w:rPr>
          <w:sz w:val="26"/>
          <w:szCs w:val="26"/>
        </w:rPr>
        <w:t>)</w:t>
      </w:r>
      <w:r w:rsidR="004C72A9">
        <w:rPr>
          <w:sz w:val="26"/>
          <w:szCs w:val="26"/>
        </w:rPr>
        <w:t xml:space="preserve"> font le constat que, dans six pays d’Amérique Latine, la politique de distribution est positivement reliée à la rentabilité de l’entreprise et négativemen</w:t>
      </w:r>
      <w:r w:rsidR="00AD7081">
        <w:rPr>
          <w:sz w:val="26"/>
          <w:szCs w:val="26"/>
        </w:rPr>
        <w:t>t à l’endettement passé ainsi qu’</w:t>
      </w:r>
      <w:r w:rsidR="004C72A9">
        <w:rPr>
          <w:sz w:val="26"/>
          <w:szCs w:val="26"/>
        </w:rPr>
        <w:t xml:space="preserve">aux opportunités d’investissements. </w:t>
      </w:r>
      <w:r w:rsidR="00F82F43">
        <w:rPr>
          <w:sz w:val="26"/>
          <w:szCs w:val="26"/>
        </w:rPr>
        <w:t>Ozo F., Thankom A. (2019), sur le marché du Niger, confirment l’hypothèse d’un contenu informationnel associé à la distribution de dividendes : tant les dividendes que les résultats annuels des entreprises posséderaient un contenu informa</w:t>
      </w:r>
      <w:r w:rsidR="00AD7081">
        <w:rPr>
          <w:sz w:val="26"/>
          <w:szCs w:val="26"/>
        </w:rPr>
        <w:t>tionnel important mais celui associé aux</w:t>
      </w:r>
      <w:r w:rsidR="00F82F43">
        <w:rPr>
          <w:sz w:val="26"/>
          <w:szCs w:val="26"/>
        </w:rPr>
        <w:t xml:space="preserve"> dividendes irait </w:t>
      </w:r>
      <w:r w:rsidR="00AD7081">
        <w:rPr>
          <w:sz w:val="26"/>
          <w:szCs w:val="26"/>
        </w:rPr>
        <w:t>au-delà</w:t>
      </w:r>
      <w:r w:rsidR="00F82F43">
        <w:rPr>
          <w:sz w:val="26"/>
          <w:szCs w:val="26"/>
        </w:rPr>
        <w:t>.</w:t>
      </w:r>
      <w:r w:rsidR="009B60D6" w:rsidRPr="009B60D6">
        <w:t xml:space="preserve"> </w:t>
      </w:r>
      <w:r w:rsidR="009B60D6" w:rsidRPr="009B60D6">
        <w:rPr>
          <w:sz w:val="26"/>
          <w:szCs w:val="26"/>
        </w:rPr>
        <w:t>Khanal A., Mishra A. (2017</w:t>
      </w:r>
      <w:r w:rsidR="009B60D6">
        <w:rPr>
          <w:sz w:val="26"/>
          <w:szCs w:val="26"/>
        </w:rPr>
        <w:t xml:space="preserve">), en comparant une période conjoncturelle de croissance forte et une autre de croissance modérée et en estimant des réactions boursières à l’aide d’études événementielles, obtiennent qu’en moyenne, des rentabilités anormales peuvent être observées sur les deux périodes, mais </w:t>
      </w:r>
      <w:r w:rsidR="002E0DEE">
        <w:rPr>
          <w:sz w:val="26"/>
          <w:szCs w:val="26"/>
        </w:rPr>
        <w:t xml:space="preserve">que </w:t>
      </w:r>
      <w:r w:rsidR="009B60D6">
        <w:rPr>
          <w:sz w:val="26"/>
          <w:szCs w:val="26"/>
        </w:rPr>
        <w:t xml:space="preserve">celles-ci sont de moindre ampleur en basse conjoncture. </w:t>
      </w:r>
      <w:r w:rsidR="009675DF" w:rsidRPr="009675DF">
        <w:rPr>
          <w:rFonts w:eastAsia="Times New Roman" w:cstheme="minorHAnsi"/>
          <w:sz w:val="26"/>
          <w:szCs w:val="26"/>
          <w:lang w:eastAsia="fr-BE"/>
        </w:rPr>
        <w:t>Czapiewski L., Kubiak J. (2018), </w:t>
      </w:r>
      <w:r w:rsidR="009675DF">
        <w:rPr>
          <w:rFonts w:eastAsia="Times New Roman" w:cstheme="minorHAnsi"/>
          <w:sz w:val="26"/>
          <w:szCs w:val="26"/>
          <w:lang w:eastAsia="fr-BE"/>
        </w:rPr>
        <w:t xml:space="preserve">sur le marché polonais, et au départ à nouveau d’une événementielle, ont repéré des mouvements anormaux uniquement pour les entreprises annonçant une croissance des dividendes versés. </w:t>
      </w:r>
      <w:r w:rsidR="00D82DDC">
        <w:rPr>
          <w:rFonts w:eastAsia="Times New Roman" w:cstheme="minorHAnsi"/>
          <w:sz w:val="26"/>
          <w:szCs w:val="26"/>
          <w:lang w:eastAsia="fr-BE"/>
        </w:rPr>
        <w:t>D’autres auteurs</w:t>
      </w:r>
      <w:r w:rsidR="00D82DDC" w:rsidRPr="00D82DDC">
        <w:t xml:space="preserve"> </w:t>
      </w:r>
      <w:r w:rsidR="00D82DDC">
        <w:t>(</w:t>
      </w:r>
      <w:r w:rsidR="00D82DDC" w:rsidRPr="00D82DDC">
        <w:rPr>
          <w:rFonts w:eastAsia="Times New Roman" w:cstheme="minorHAnsi"/>
          <w:sz w:val="26"/>
          <w:szCs w:val="26"/>
          <w:lang w:eastAsia="fr-BE"/>
        </w:rPr>
        <w:t>Felimban, R., Floros, C. and Nguyen, A.-N. (2018)</w:t>
      </w:r>
      <w:r w:rsidR="00D82DDC">
        <w:rPr>
          <w:rFonts w:eastAsia="Times New Roman" w:cstheme="minorHAnsi"/>
          <w:sz w:val="26"/>
          <w:szCs w:val="26"/>
          <w:lang w:eastAsia="fr-BE"/>
        </w:rPr>
        <w:t>)</w:t>
      </w:r>
      <w:r w:rsidR="00182D49">
        <w:rPr>
          <w:rFonts w:eastAsia="Times New Roman" w:cstheme="minorHAnsi"/>
          <w:sz w:val="26"/>
          <w:szCs w:val="26"/>
          <w:lang w:eastAsia="fr-BE"/>
        </w:rPr>
        <w:t>, sur le marché du Golfe,</w:t>
      </w:r>
      <w:r w:rsidR="00D82DDC">
        <w:rPr>
          <w:rFonts w:eastAsia="Times New Roman" w:cstheme="minorHAnsi"/>
          <w:sz w:val="26"/>
          <w:szCs w:val="26"/>
          <w:lang w:eastAsia="fr-BE"/>
        </w:rPr>
        <w:t xml:space="preserve"> mettent en évidence des volumes anormaux d’échange</w:t>
      </w:r>
      <w:r w:rsidR="00D82DDC" w:rsidRPr="00D82DDC">
        <w:rPr>
          <w:rFonts w:eastAsia="Times New Roman" w:cstheme="minorHAnsi"/>
          <w:sz w:val="26"/>
          <w:szCs w:val="26"/>
          <w:lang w:eastAsia="fr-BE"/>
        </w:rPr>
        <w:t xml:space="preserve"> </w:t>
      </w:r>
      <w:r w:rsidR="00182D49">
        <w:rPr>
          <w:rFonts w:eastAsia="Times New Roman" w:cstheme="minorHAnsi"/>
          <w:sz w:val="26"/>
          <w:szCs w:val="26"/>
          <w:lang w:eastAsia="fr-BE"/>
        </w:rPr>
        <w:t>lors de l’annonce du versement du dividende (qu’il soit en hausse, en baisse ou constant).</w:t>
      </w:r>
    </w:p>
    <w:p w:rsidR="001D3866" w:rsidRPr="004D3563" w:rsidRDefault="009B60D6" w:rsidP="00BA2A8A">
      <w:pPr>
        <w:ind w:left="360"/>
        <w:jc w:val="both"/>
        <w:rPr>
          <w:sz w:val="26"/>
          <w:szCs w:val="26"/>
        </w:rPr>
      </w:pPr>
      <w:r>
        <w:rPr>
          <w:sz w:val="26"/>
          <w:szCs w:val="26"/>
        </w:rPr>
        <w:t>Des études démontrent également que la prise en considération du contenu informationnel ne suffit pas toujours pour appréhender les réactions des marchés. Ainsi, d</w:t>
      </w:r>
      <w:r w:rsidR="004C72A9">
        <w:rPr>
          <w:sz w:val="26"/>
          <w:szCs w:val="26"/>
        </w:rPr>
        <w:t xml:space="preserve">es éléments de gouvernance à l’échelon de l’entreprise ou au niveau national pourraient également influer </w:t>
      </w:r>
      <w:r w:rsidR="00BA2A8A">
        <w:rPr>
          <w:sz w:val="26"/>
          <w:szCs w:val="26"/>
        </w:rPr>
        <w:t>sur la politique de versement. Dans la lignée de l’importance de certaines de données de gouvernance,</w:t>
      </w:r>
      <w:r w:rsidR="00BA2A8A" w:rsidRPr="00BA2A8A">
        <w:rPr>
          <w:rFonts w:ascii="Source Sans Pro" w:eastAsia="Times New Roman" w:hAnsi="Source Sans Pro" w:cs="Times New Roman"/>
          <w:sz w:val="24"/>
          <w:szCs w:val="24"/>
          <w:lang w:eastAsia="fr-BE"/>
        </w:rPr>
        <w:t xml:space="preserve"> </w:t>
      </w:r>
      <w:r w:rsidR="00BA2A8A">
        <w:rPr>
          <w:rFonts w:ascii="Source Sans Pro" w:eastAsia="Times New Roman" w:hAnsi="Source Sans Pro" w:cs="Times New Roman"/>
          <w:sz w:val="24"/>
          <w:szCs w:val="24"/>
          <w:lang w:eastAsia="fr-BE"/>
        </w:rPr>
        <w:t>Tsui L., Yi C., Han T. (2017) démontrent que les entreprises étatiques</w:t>
      </w:r>
      <w:r w:rsidR="00A327BF">
        <w:rPr>
          <w:rFonts w:ascii="Source Sans Pro" w:eastAsia="Times New Roman" w:hAnsi="Source Sans Pro" w:cs="Times New Roman"/>
          <w:sz w:val="24"/>
          <w:szCs w:val="24"/>
          <w:lang w:eastAsia="fr-BE"/>
        </w:rPr>
        <w:t xml:space="preserve"> sur le marché chinois</w:t>
      </w:r>
      <w:r w:rsidR="00BA2A8A">
        <w:rPr>
          <w:rFonts w:ascii="Source Sans Pro" w:eastAsia="Times New Roman" w:hAnsi="Source Sans Pro" w:cs="Times New Roman"/>
          <w:sz w:val="24"/>
          <w:szCs w:val="24"/>
          <w:lang w:eastAsia="fr-BE"/>
        </w:rPr>
        <w:t>, avec des niveaux plus élevés d’asymétrie informationnelle, auraient des politiques plus généreuses de distribution que celles non contrôlées par l’Etat.</w:t>
      </w:r>
      <w:r w:rsidR="00BA2A8A" w:rsidRPr="00BA2A8A">
        <w:rPr>
          <w:sz w:val="26"/>
          <w:szCs w:val="26"/>
        </w:rPr>
        <w:t xml:space="preserve"> </w:t>
      </w:r>
      <w:r>
        <w:rPr>
          <w:sz w:val="26"/>
          <w:szCs w:val="26"/>
        </w:rPr>
        <w:t>Les politiques de distribution pourraient êtr</w:t>
      </w:r>
      <w:r w:rsidR="00F818A9">
        <w:rPr>
          <w:sz w:val="26"/>
          <w:szCs w:val="26"/>
        </w:rPr>
        <w:t>e également conditionnées à celles retenues par</w:t>
      </w:r>
      <w:r>
        <w:rPr>
          <w:sz w:val="26"/>
          <w:szCs w:val="26"/>
        </w:rPr>
        <w:t xml:space="preserve"> les entreprises du même secte</w:t>
      </w:r>
      <w:r w:rsidR="00196AD8">
        <w:rPr>
          <w:sz w:val="26"/>
          <w:szCs w:val="26"/>
        </w:rPr>
        <w:t xml:space="preserve">ur, </w:t>
      </w:r>
      <w:r w:rsidR="00196AD8">
        <w:rPr>
          <w:rFonts w:ascii="Source Sans Pro" w:eastAsia="Times New Roman" w:hAnsi="Source Sans Pro" w:cs="Times New Roman"/>
          <w:sz w:val="24"/>
          <w:szCs w:val="24"/>
          <w:lang w:eastAsia="fr-BE"/>
        </w:rPr>
        <w:t xml:space="preserve">Grennan J. (2019). </w:t>
      </w:r>
      <w:r w:rsidR="00C902E2">
        <w:rPr>
          <w:rFonts w:eastAsia="Times New Roman" w:cstheme="minorHAnsi"/>
          <w:sz w:val="26"/>
          <w:szCs w:val="26"/>
          <w:lang w:eastAsia="fr-BE"/>
        </w:rPr>
        <w:t>Benlemlih M. (2019) montre que les entreprises présentant des niveaux élevés de responsabili</w:t>
      </w:r>
      <w:r w:rsidR="002E0DEE">
        <w:rPr>
          <w:rFonts w:eastAsia="Times New Roman" w:cstheme="minorHAnsi"/>
          <w:sz w:val="26"/>
          <w:szCs w:val="26"/>
          <w:lang w:eastAsia="fr-BE"/>
        </w:rPr>
        <w:t>té sociétale aur</w:t>
      </w:r>
      <w:r w:rsidR="00C902E2">
        <w:rPr>
          <w:rFonts w:eastAsia="Times New Roman" w:cstheme="minorHAnsi"/>
          <w:sz w:val="26"/>
          <w:szCs w:val="26"/>
          <w:lang w:eastAsia="fr-BE"/>
        </w:rPr>
        <w:t>aient tendance à recourir à une stabilité plus forte dans le versement des divid</w:t>
      </w:r>
      <w:r w:rsidR="002E0DEE">
        <w:rPr>
          <w:rFonts w:eastAsia="Times New Roman" w:cstheme="minorHAnsi"/>
          <w:sz w:val="26"/>
          <w:szCs w:val="26"/>
          <w:lang w:eastAsia="fr-BE"/>
        </w:rPr>
        <w:t>endes que leurs homologues</w:t>
      </w:r>
      <w:r w:rsidR="00EE5091">
        <w:rPr>
          <w:rFonts w:ascii="Source Sans Pro" w:eastAsia="Times New Roman" w:hAnsi="Source Sans Pro" w:cs="Times New Roman"/>
          <w:sz w:val="24"/>
          <w:szCs w:val="24"/>
          <w:lang w:eastAsia="fr-BE"/>
        </w:rPr>
        <w:t xml:space="preserve">. </w:t>
      </w:r>
      <w:r w:rsidR="00EE5091" w:rsidRPr="00EE5091">
        <w:rPr>
          <w:rFonts w:ascii="Source Sans Pro" w:eastAsia="Times New Roman" w:hAnsi="Source Sans Pro" w:cs="Times New Roman"/>
          <w:sz w:val="24"/>
          <w:szCs w:val="24"/>
          <w:lang w:eastAsia="fr-BE"/>
        </w:rPr>
        <w:t xml:space="preserve"> </w:t>
      </w:r>
      <w:r w:rsidR="00E668EB" w:rsidRPr="00E668EB">
        <w:rPr>
          <w:rFonts w:eastAsia="Times New Roman" w:cstheme="minorHAnsi"/>
          <w:sz w:val="26"/>
          <w:szCs w:val="26"/>
          <w:lang w:eastAsia="fr-BE"/>
        </w:rPr>
        <w:t>Barros V</w:t>
      </w:r>
      <w:r w:rsidR="00E668EB">
        <w:rPr>
          <w:rFonts w:eastAsia="Times New Roman" w:cstheme="minorHAnsi"/>
          <w:sz w:val="26"/>
          <w:szCs w:val="26"/>
          <w:lang w:eastAsia="fr-BE"/>
        </w:rPr>
        <w:t>., Matos P., Sarmento J. (2020) mettent avant que les marges opérationnelles, la couverture des analystes financiers, le niveau de flottant possèdent une influence significative sur la politique des dividendes (même si c’est la taille de l’entreprise qui semble être déterminante)</w:t>
      </w:r>
      <w:r w:rsidR="00E668EB" w:rsidRPr="00E668EB">
        <w:rPr>
          <w:rFonts w:eastAsia="Times New Roman" w:cstheme="minorHAnsi"/>
          <w:sz w:val="26"/>
          <w:szCs w:val="26"/>
          <w:lang w:eastAsia="fr-BE"/>
        </w:rPr>
        <w:t>.</w:t>
      </w:r>
      <w:r w:rsidR="0049567F">
        <w:rPr>
          <w:rFonts w:eastAsia="Times New Roman" w:cstheme="minorHAnsi"/>
          <w:sz w:val="26"/>
          <w:szCs w:val="26"/>
          <w:lang w:eastAsia="fr-BE"/>
        </w:rPr>
        <w:t xml:space="preserve"> </w:t>
      </w:r>
      <w:r w:rsidR="00A43F40">
        <w:rPr>
          <w:sz w:val="26"/>
          <w:szCs w:val="26"/>
        </w:rPr>
        <w:t>L’étude de Booth L., Zhou J. (</w:t>
      </w:r>
      <w:r w:rsidR="00A43F40" w:rsidRPr="00A43F40">
        <w:rPr>
          <w:sz w:val="26"/>
          <w:szCs w:val="26"/>
        </w:rPr>
        <w:t>2017</w:t>
      </w:r>
      <w:r w:rsidR="00A43F40">
        <w:rPr>
          <w:sz w:val="26"/>
          <w:szCs w:val="26"/>
        </w:rPr>
        <w:t>) met en évidence que les politiques de distribution peuvent être contingentées à des contextes institutionnels différents d’un pays à l’autre.</w:t>
      </w:r>
    </w:p>
    <w:p w:rsidR="00D07659" w:rsidRDefault="00E2489E" w:rsidP="00D07659">
      <w:pPr>
        <w:ind w:left="360"/>
        <w:jc w:val="both"/>
        <w:rPr>
          <w:sz w:val="26"/>
          <w:szCs w:val="26"/>
        </w:rPr>
      </w:pPr>
      <w:r>
        <w:rPr>
          <w:sz w:val="26"/>
          <w:szCs w:val="26"/>
        </w:rPr>
        <w:t>Et donc en fonction de ce relevé de la littérature</w:t>
      </w:r>
      <w:r w:rsidR="00A327BF">
        <w:rPr>
          <w:sz w:val="26"/>
          <w:szCs w:val="26"/>
        </w:rPr>
        <w:t xml:space="preserve">, nous constatons qu’un grand </w:t>
      </w:r>
      <w:r w:rsidR="0049567F">
        <w:rPr>
          <w:sz w:val="26"/>
          <w:szCs w:val="26"/>
        </w:rPr>
        <w:t xml:space="preserve">nombre d’auteurs </w:t>
      </w:r>
      <w:r w:rsidR="00A327BF">
        <w:rPr>
          <w:sz w:val="26"/>
          <w:szCs w:val="26"/>
        </w:rPr>
        <w:t>ont insisté</w:t>
      </w:r>
      <w:r w:rsidR="0049567F">
        <w:rPr>
          <w:sz w:val="26"/>
          <w:szCs w:val="26"/>
        </w:rPr>
        <w:t xml:space="preserve"> sur le contenu informationnel associé à la politique de versement. Certains ont également présenté l’importance de variables extérieures à l’entreprise (RSE, contexte institutionnel). </w:t>
      </w:r>
      <w:r>
        <w:rPr>
          <w:sz w:val="26"/>
          <w:szCs w:val="26"/>
        </w:rPr>
        <w:t xml:space="preserve"> </w:t>
      </w:r>
      <w:r w:rsidR="0049567F">
        <w:rPr>
          <w:sz w:val="26"/>
          <w:szCs w:val="26"/>
        </w:rPr>
        <w:t xml:space="preserve">Au final, </w:t>
      </w:r>
      <w:r>
        <w:rPr>
          <w:sz w:val="26"/>
          <w:szCs w:val="26"/>
        </w:rPr>
        <w:t xml:space="preserve">en prenant en considération </w:t>
      </w:r>
      <w:r w:rsidR="0049567F">
        <w:rPr>
          <w:sz w:val="26"/>
          <w:szCs w:val="26"/>
        </w:rPr>
        <w:t xml:space="preserve">tant l’état de l’art que </w:t>
      </w:r>
      <w:r>
        <w:rPr>
          <w:sz w:val="26"/>
          <w:szCs w:val="26"/>
        </w:rPr>
        <w:t xml:space="preserve">le contexte prévalant pour l’étude, une première question de recherche </w:t>
      </w:r>
      <w:r w:rsidR="00D07659">
        <w:rPr>
          <w:sz w:val="26"/>
          <w:szCs w:val="26"/>
        </w:rPr>
        <w:t>émerge : en considérant toutes les annonces liées aux dividendes pour l’exercice 2019, nous comparons les réactions boursières engendrées en distinguant, d’une part, celles qui concernent l’annulation pure et simple des dividendes initialement prévus et, d’autre part, celles relatives au maintien ou à la réduction du versement. L’idée est, dans le second cas, d’assurer un exercice – même si, dans certains cas, réduit – de rémunération des actionnaires.</w:t>
      </w:r>
      <w:r w:rsidR="006E4A95">
        <w:rPr>
          <w:sz w:val="26"/>
          <w:szCs w:val="26"/>
        </w:rPr>
        <w:t xml:space="preserve"> </w:t>
      </w:r>
      <w:r w:rsidR="0049567F">
        <w:rPr>
          <w:sz w:val="26"/>
          <w:szCs w:val="26"/>
        </w:rPr>
        <w:t xml:space="preserve">En pratiquant de la sorte, nous ne focalisons que sur le côté « contenu informationnel » lié aux dividendes. Afin de formuler notre deuxième question de recherche, nous faisons appel au contexte institutionnel </w:t>
      </w:r>
      <w:r w:rsidR="002E0DEE">
        <w:rPr>
          <w:sz w:val="26"/>
          <w:szCs w:val="26"/>
        </w:rPr>
        <w:t xml:space="preserve">général </w:t>
      </w:r>
      <w:r w:rsidR="0049567F">
        <w:rPr>
          <w:sz w:val="26"/>
          <w:szCs w:val="26"/>
        </w:rPr>
        <w:t>qui a prévalu après l</w:t>
      </w:r>
      <w:r w:rsidR="002E0DEE">
        <w:rPr>
          <w:sz w:val="26"/>
          <w:szCs w:val="26"/>
        </w:rPr>
        <w:t>e 27 mars</w:t>
      </w:r>
      <w:r w:rsidR="0049567F">
        <w:rPr>
          <w:sz w:val="26"/>
          <w:szCs w:val="26"/>
        </w:rPr>
        <w:t>.</w:t>
      </w:r>
    </w:p>
    <w:p w:rsidR="00E95DD6" w:rsidRPr="00151BC5" w:rsidRDefault="002A7F33" w:rsidP="00151BC5">
      <w:pPr>
        <w:ind w:left="360"/>
        <w:jc w:val="both"/>
        <w:rPr>
          <w:sz w:val="26"/>
          <w:szCs w:val="26"/>
        </w:rPr>
      </w:pPr>
      <w:r>
        <w:rPr>
          <w:sz w:val="26"/>
          <w:szCs w:val="26"/>
        </w:rPr>
        <w:t xml:space="preserve">Dans cette optique, </w:t>
      </w:r>
      <w:r w:rsidR="006E4A95">
        <w:rPr>
          <w:sz w:val="26"/>
          <w:szCs w:val="26"/>
        </w:rPr>
        <w:t>s</w:t>
      </w:r>
      <w:r w:rsidR="00E2489E">
        <w:rPr>
          <w:sz w:val="26"/>
          <w:szCs w:val="26"/>
        </w:rPr>
        <w:t xml:space="preserve">uite aux annonces </w:t>
      </w:r>
      <w:r w:rsidR="00BB3585">
        <w:rPr>
          <w:sz w:val="26"/>
          <w:szCs w:val="26"/>
        </w:rPr>
        <w:t xml:space="preserve">institutionnelles </w:t>
      </w:r>
      <w:r w:rsidR="00E2489E">
        <w:rPr>
          <w:sz w:val="26"/>
          <w:szCs w:val="26"/>
        </w:rPr>
        <w:t>du 27 ma</w:t>
      </w:r>
      <w:r w:rsidR="00A75DA4">
        <w:rPr>
          <w:sz w:val="26"/>
          <w:szCs w:val="26"/>
        </w:rPr>
        <w:t xml:space="preserve">rs et </w:t>
      </w:r>
      <w:r w:rsidR="00E2489E">
        <w:rPr>
          <w:sz w:val="26"/>
          <w:szCs w:val="26"/>
        </w:rPr>
        <w:t>la nouvelle portée donnée aux versements de</w:t>
      </w:r>
      <w:r w:rsidR="00BB3585">
        <w:rPr>
          <w:sz w:val="26"/>
          <w:szCs w:val="26"/>
        </w:rPr>
        <w:t>s</w:t>
      </w:r>
      <w:r w:rsidR="00E2489E">
        <w:rPr>
          <w:sz w:val="26"/>
          <w:szCs w:val="26"/>
        </w:rPr>
        <w:t xml:space="preserve"> dividendes</w:t>
      </w:r>
      <w:r w:rsidR="00BB3585">
        <w:rPr>
          <w:sz w:val="26"/>
          <w:szCs w:val="26"/>
        </w:rPr>
        <w:t xml:space="preserve"> (au sens où leurs co</w:t>
      </w:r>
      <w:r w:rsidR="003A1FE3">
        <w:rPr>
          <w:sz w:val="26"/>
          <w:szCs w:val="26"/>
        </w:rPr>
        <w:t xml:space="preserve">ntenus informationnels </w:t>
      </w:r>
      <w:r w:rsidR="00BB3585">
        <w:rPr>
          <w:sz w:val="26"/>
          <w:szCs w:val="26"/>
        </w:rPr>
        <w:t>s</w:t>
      </w:r>
      <w:r w:rsidR="003A1FE3">
        <w:rPr>
          <w:sz w:val="26"/>
          <w:szCs w:val="26"/>
        </w:rPr>
        <w:t>on</w:t>
      </w:r>
      <w:r w:rsidR="00BB3585">
        <w:rPr>
          <w:sz w:val="26"/>
          <w:szCs w:val="26"/>
        </w:rPr>
        <w:t>t sensiblement modifié</w:t>
      </w:r>
      <w:r w:rsidR="003A1FE3">
        <w:rPr>
          <w:sz w:val="26"/>
          <w:szCs w:val="26"/>
        </w:rPr>
        <w:t>s</w:t>
      </w:r>
      <w:r w:rsidR="00BB3585">
        <w:rPr>
          <w:sz w:val="26"/>
          <w:szCs w:val="26"/>
        </w:rPr>
        <w:t>)</w:t>
      </w:r>
      <w:r w:rsidR="00E2489E">
        <w:rPr>
          <w:sz w:val="26"/>
          <w:szCs w:val="26"/>
        </w:rPr>
        <w:t xml:space="preserve">, une deuxième question </w:t>
      </w:r>
      <w:r w:rsidR="00464101">
        <w:rPr>
          <w:sz w:val="26"/>
          <w:szCs w:val="26"/>
        </w:rPr>
        <w:t>de recherche</w:t>
      </w:r>
      <w:r w:rsidR="00D07659">
        <w:rPr>
          <w:sz w:val="26"/>
          <w:szCs w:val="26"/>
        </w:rPr>
        <w:t xml:space="preserve"> émerge donc : si, pour les entreprises, l’abandon ou la révision à la baisse des div</w:t>
      </w:r>
      <w:r w:rsidR="00464101">
        <w:rPr>
          <w:sz w:val="26"/>
          <w:szCs w:val="26"/>
        </w:rPr>
        <w:t>idendes versés ne constituerai</w:t>
      </w:r>
      <w:r w:rsidR="00D07659">
        <w:rPr>
          <w:sz w:val="26"/>
          <w:szCs w:val="26"/>
        </w:rPr>
        <w:t>t plus un aveu</w:t>
      </w:r>
      <w:r w:rsidR="00464101">
        <w:rPr>
          <w:sz w:val="26"/>
          <w:szCs w:val="26"/>
        </w:rPr>
        <w:t xml:space="preserve"> de faiblesse mais s’inscrirai</w:t>
      </w:r>
      <w:r w:rsidR="00D07659">
        <w:rPr>
          <w:sz w:val="26"/>
          <w:szCs w:val="26"/>
        </w:rPr>
        <w:t xml:space="preserve">t simplement </w:t>
      </w:r>
      <w:r w:rsidR="00464101">
        <w:rPr>
          <w:sz w:val="26"/>
          <w:szCs w:val="26"/>
        </w:rPr>
        <w:t>dans une logique de</w:t>
      </w:r>
      <w:r w:rsidR="00D07659">
        <w:rPr>
          <w:sz w:val="26"/>
          <w:szCs w:val="26"/>
        </w:rPr>
        <w:t xml:space="preserve"> respect de consignes préconisées au niveau institutionnel, alors la perception des marchés ne devrait pas</w:t>
      </w:r>
      <w:r w:rsidR="00E2489E">
        <w:rPr>
          <w:sz w:val="26"/>
          <w:szCs w:val="26"/>
        </w:rPr>
        <w:t xml:space="preserve"> (ou plus)</w:t>
      </w:r>
      <w:r w:rsidR="00D07659">
        <w:rPr>
          <w:sz w:val="26"/>
          <w:szCs w:val="26"/>
        </w:rPr>
        <w:t xml:space="preserve"> </w:t>
      </w:r>
      <w:r w:rsidR="003A1FE3">
        <w:rPr>
          <w:sz w:val="26"/>
          <w:szCs w:val="26"/>
        </w:rPr>
        <w:t xml:space="preserve">nécessairement </w:t>
      </w:r>
      <w:r w:rsidR="00D07659">
        <w:rPr>
          <w:sz w:val="26"/>
          <w:szCs w:val="26"/>
        </w:rPr>
        <w:t>réaliser de distinguo entre le maintien de la politique de verseme</w:t>
      </w:r>
      <w:r w:rsidR="00464101">
        <w:rPr>
          <w:sz w:val="26"/>
          <w:szCs w:val="26"/>
        </w:rPr>
        <w:t>nts de dividendes (confirmation</w:t>
      </w:r>
      <w:r w:rsidR="00D07659">
        <w:rPr>
          <w:sz w:val="26"/>
          <w:szCs w:val="26"/>
        </w:rPr>
        <w:t xml:space="preserve"> ou réd</w:t>
      </w:r>
      <w:r w:rsidR="00464101">
        <w:rPr>
          <w:sz w:val="26"/>
          <w:szCs w:val="26"/>
        </w:rPr>
        <w:t>uction</w:t>
      </w:r>
      <w:r w:rsidR="00D07659">
        <w:rPr>
          <w:sz w:val="26"/>
          <w:szCs w:val="26"/>
        </w:rPr>
        <w:t>) et celle de l’annulation.</w:t>
      </w:r>
      <w:r w:rsidR="00736ED9">
        <w:rPr>
          <w:sz w:val="26"/>
          <w:szCs w:val="26"/>
        </w:rPr>
        <w:t xml:space="preserve"> Dès lors, toutes les annonces devraient être ressenties de la même manière.</w:t>
      </w:r>
      <w:r w:rsidR="00D07659">
        <w:rPr>
          <w:sz w:val="26"/>
          <w:szCs w:val="26"/>
        </w:rPr>
        <w:t xml:space="preserve"> Cette date pivot</w:t>
      </w:r>
      <w:r w:rsidR="00522C30">
        <w:rPr>
          <w:sz w:val="26"/>
          <w:szCs w:val="26"/>
        </w:rPr>
        <w:t xml:space="preserve"> - qui est censée marquer un accord implicite pour que les excédents de valeur dégagés par l’entreprise retournent dans les fonds propres de celle-ci </w:t>
      </w:r>
      <w:r w:rsidR="00CB7C32">
        <w:rPr>
          <w:sz w:val="26"/>
          <w:szCs w:val="26"/>
        </w:rPr>
        <w:t>–</w:t>
      </w:r>
      <w:r w:rsidR="00522C30">
        <w:rPr>
          <w:sz w:val="26"/>
          <w:szCs w:val="26"/>
        </w:rPr>
        <w:t xml:space="preserve"> </w:t>
      </w:r>
      <w:r w:rsidR="00CB7C32">
        <w:rPr>
          <w:sz w:val="26"/>
          <w:szCs w:val="26"/>
        </w:rPr>
        <w:t xml:space="preserve">induira </w:t>
      </w:r>
      <w:r w:rsidR="00D07659">
        <w:rPr>
          <w:sz w:val="26"/>
          <w:szCs w:val="26"/>
        </w:rPr>
        <w:t xml:space="preserve">une scission de la population initialement retenue en deux sous-ensembles : les annonces qui se sont opérées avant le 27 mars et celles </w:t>
      </w:r>
      <w:r w:rsidR="002E0DEE">
        <w:rPr>
          <w:sz w:val="26"/>
          <w:szCs w:val="26"/>
        </w:rPr>
        <w:t xml:space="preserve">effectuées </w:t>
      </w:r>
      <w:r w:rsidR="00D07659">
        <w:rPr>
          <w:sz w:val="26"/>
          <w:szCs w:val="26"/>
        </w:rPr>
        <w:t>après cette date</w:t>
      </w:r>
      <w:r w:rsidR="00E2489E">
        <w:rPr>
          <w:sz w:val="26"/>
          <w:szCs w:val="26"/>
        </w:rPr>
        <w:t xml:space="preserve"> en réalisant</w:t>
      </w:r>
      <w:r w:rsidR="00D07659">
        <w:rPr>
          <w:sz w:val="26"/>
          <w:szCs w:val="26"/>
        </w:rPr>
        <w:t xml:space="preserve"> une distinction entre les décisions d’annulation des versements </w:t>
      </w:r>
      <w:r w:rsidR="006B7BBD">
        <w:rPr>
          <w:sz w:val="26"/>
          <w:szCs w:val="26"/>
        </w:rPr>
        <w:t>(rencontre d’intérêts sociétaux</w:t>
      </w:r>
      <w:r w:rsidR="00502AB2">
        <w:rPr>
          <w:sz w:val="26"/>
          <w:szCs w:val="26"/>
        </w:rPr>
        <w:t xml:space="preserve"> ou, plus objectivement</w:t>
      </w:r>
      <w:r w:rsidR="0055434A">
        <w:rPr>
          <w:sz w:val="26"/>
          <w:szCs w:val="26"/>
        </w:rPr>
        <w:t>,</w:t>
      </w:r>
      <w:r w:rsidR="00DD244A">
        <w:rPr>
          <w:sz w:val="26"/>
          <w:szCs w:val="26"/>
        </w:rPr>
        <w:t xml:space="preserve"> souci de précaution financière</w:t>
      </w:r>
      <w:r w:rsidR="006B7BBD">
        <w:rPr>
          <w:sz w:val="26"/>
          <w:szCs w:val="26"/>
        </w:rPr>
        <w:t xml:space="preserve">) </w:t>
      </w:r>
      <w:r w:rsidR="00D07659">
        <w:rPr>
          <w:sz w:val="26"/>
          <w:szCs w:val="26"/>
        </w:rPr>
        <w:t>et celles de réduction ou de confirmation</w:t>
      </w:r>
      <w:r w:rsidR="006B7BBD">
        <w:rPr>
          <w:sz w:val="26"/>
          <w:szCs w:val="26"/>
        </w:rPr>
        <w:t xml:space="preserve"> (rencontre partielle ou totale des intérêts actionnariaux)</w:t>
      </w:r>
      <w:r w:rsidR="00D07659">
        <w:rPr>
          <w:sz w:val="26"/>
          <w:szCs w:val="26"/>
        </w:rPr>
        <w:t>.</w:t>
      </w:r>
    </w:p>
    <w:p w:rsidR="00D64553" w:rsidRDefault="00D64553" w:rsidP="002F3780">
      <w:pPr>
        <w:pStyle w:val="Paragraphedeliste"/>
        <w:numPr>
          <w:ilvl w:val="0"/>
          <w:numId w:val="1"/>
        </w:numPr>
        <w:jc w:val="both"/>
        <w:rPr>
          <w:sz w:val="28"/>
          <w:szCs w:val="28"/>
          <w:u w:val="single"/>
        </w:rPr>
      </w:pPr>
      <w:r w:rsidRPr="00D64553">
        <w:rPr>
          <w:sz w:val="28"/>
          <w:szCs w:val="28"/>
          <w:u w:val="single"/>
        </w:rPr>
        <w:t>Echantillonnage et méthodologie</w:t>
      </w:r>
    </w:p>
    <w:p w:rsidR="00DD244A" w:rsidRDefault="00DD244A" w:rsidP="00DD244A">
      <w:pPr>
        <w:pStyle w:val="Paragraphedeliste"/>
        <w:numPr>
          <w:ilvl w:val="1"/>
          <w:numId w:val="1"/>
        </w:numPr>
        <w:jc w:val="both"/>
        <w:rPr>
          <w:sz w:val="28"/>
          <w:szCs w:val="28"/>
          <w:u w:val="single"/>
        </w:rPr>
      </w:pPr>
      <w:r>
        <w:rPr>
          <w:sz w:val="28"/>
          <w:szCs w:val="28"/>
          <w:u w:val="single"/>
        </w:rPr>
        <w:t>Méthodologie</w:t>
      </w:r>
    </w:p>
    <w:p w:rsidR="00DE5E13" w:rsidRDefault="00FF4144" w:rsidP="00FF4144">
      <w:pPr>
        <w:ind w:left="426"/>
        <w:jc w:val="both"/>
        <w:rPr>
          <w:sz w:val="26"/>
          <w:szCs w:val="26"/>
        </w:rPr>
      </w:pPr>
      <w:r w:rsidRPr="00FF4144">
        <w:rPr>
          <w:sz w:val="26"/>
          <w:szCs w:val="26"/>
        </w:rPr>
        <w:t xml:space="preserve">Nous avons, tout d’abord, pris en considération toutes les entreprises du SBF120 et leur communication associée à la gestion des dividendes dans le cadre du COVID19. Ensuite, nous avons repéré toutes les dates d’annonce ainsi que les rentabilités observées pour les titres, et ce sur deux intervalles de temps : entre la veille de l’annonce officielle et le jour de celle-ci (t-1 ; t0) ainsi que sur une période de cinq jours : deux jours avant l’annonce jusqu’à deux jours après l’annonce (t-2 ; t+2). Enfin, ces deux rentabilités ont été corrigées par la configuration générale des marchés sur les mêmes horizons temporels (en considérant l’indice SBF120). </w:t>
      </w:r>
      <w:r w:rsidR="00DE5E13">
        <w:rPr>
          <w:sz w:val="26"/>
          <w:szCs w:val="26"/>
        </w:rPr>
        <w:t xml:space="preserve">Nous avons retenu ces deux horizons temporels pour, dans un premier temps, coller aux hypothèses de </w:t>
      </w:r>
      <w:r w:rsidR="00652F37">
        <w:rPr>
          <w:sz w:val="26"/>
          <w:szCs w:val="26"/>
        </w:rPr>
        <w:t xml:space="preserve">travail de </w:t>
      </w:r>
      <w:r w:rsidR="00DE5E13">
        <w:rPr>
          <w:sz w:val="26"/>
          <w:szCs w:val="26"/>
        </w:rPr>
        <w:t>l’</w:t>
      </w:r>
      <w:r w:rsidR="00652F37">
        <w:rPr>
          <w:sz w:val="26"/>
          <w:szCs w:val="26"/>
        </w:rPr>
        <w:t>efficience des marchés dans sa</w:t>
      </w:r>
      <w:r w:rsidR="00DE5E13">
        <w:rPr>
          <w:sz w:val="26"/>
          <w:szCs w:val="26"/>
        </w:rPr>
        <w:t xml:space="preserve"> forme semi-forte (t-1 ; t0) et, pour, dans un deuxième t</w:t>
      </w:r>
      <w:r w:rsidR="008E5715">
        <w:rPr>
          <w:sz w:val="26"/>
          <w:szCs w:val="26"/>
        </w:rPr>
        <w:t>emps, prendre en considération l</w:t>
      </w:r>
      <w:r w:rsidR="00DE5E13">
        <w:rPr>
          <w:sz w:val="26"/>
          <w:szCs w:val="26"/>
        </w:rPr>
        <w:t>es éventuels phénomènes</w:t>
      </w:r>
      <w:r w:rsidR="008E5715">
        <w:rPr>
          <w:sz w:val="26"/>
          <w:szCs w:val="26"/>
        </w:rPr>
        <w:t xml:space="preserve"> d’anticipation des marchés et l</w:t>
      </w:r>
      <w:r w:rsidR="00DE5E13">
        <w:rPr>
          <w:sz w:val="26"/>
          <w:szCs w:val="26"/>
        </w:rPr>
        <w:t xml:space="preserve">es exercices de lecture d’un cadre informationnel à niveaux </w:t>
      </w:r>
      <w:r w:rsidR="00652F37">
        <w:rPr>
          <w:sz w:val="26"/>
          <w:szCs w:val="26"/>
        </w:rPr>
        <w:t xml:space="preserve">élevés de complexité </w:t>
      </w:r>
      <w:r w:rsidR="00DE5E13">
        <w:rPr>
          <w:sz w:val="26"/>
          <w:szCs w:val="26"/>
        </w:rPr>
        <w:t xml:space="preserve">(t-2 ; t+2). </w:t>
      </w:r>
    </w:p>
    <w:p w:rsidR="00C67137" w:rsidRDefault="00DE5E13" w:rsidP="00FF4144">
      <w:pPr>
        <w:ind w:left="426"/>
        <w:jc w:val="both"/>
        <w:rPr>
          <w:sz w:val="26"/>
          <w:szCs w:val="26"/>
        </w:rPr>
      </w:pPr>
      <w:r>
        <w:rPr>
          <w:sz w:val="26"/>
          <w:szCs w:val="26"/>
        </w:rPr>
        <w:t>En procédant de la sorte, trois</w:t>
      </w:r>
      <w:r w:rsidRPr="00DE5E13">
        <w:rPr>
          <w:sz w:val="26"/>
          <w:szCs w:val="26"/>
        </w:rPr>
        <w:t xml:space="preserve"> limites doivent être relevées. </w:t>
      </w:r>
      <w:r w:rsidR="00B81F6E">
        <w:rPr>
          <w:sz w:val="26"/>
          <w:szCs w:val="26"/>
        </w:rPr>
        <w:t>Premièrement</w:t>
      </w:r>
      <w:r w:rsidR="00FF4144" w:rsidRPr="00FF4144">
        <w:rPr>
          <w:sz w:val="26"/>
          <w:szCs w:val="26"/>
        </w:rPr>
        <w:t>, en considérant de manière homogène les annonces officielles entreprise par entreprise, nous passons bien évidemment à côté de</w:t>
      </w:r>
      <w:r w:rsidR="008E5715">
        <w:rPr>
          <w:sz w:val="26"/>
          <w:szCs w:val="26"/>
        </w:rPr>
        <w:t>s logiques</w:t>
      </w:r>
      <w:r w:rsidR="00FF4144" w:rsidRPr="00FF4144">
        <w:rPr>
          <w:sz w:val="26"/>
          <w:szCs w:val="26"/>
        </w:rPr>
        <w:t xml:space="preserve"> sectoriel</w:t>
      </w:r>
      <w:r w:rsidR="008E5715">
        <w:rPr>
          <w:sz w:val="26"/>
          <w:szCs w:val="26"/>
        </w:rPr>
        <w:t>le</w:t>
      </w:r>
      <w:r w:rsidR="00FF4144" w:rsidRPr="00FF4144">
        <w:rPr>
          <w:sz w:val="26"/>
          <w:szCs w:val="26"/>
        </w:rPr>
        <w:t xml:space="preserve">s </w:t>
      </w:r>
      <w:r w:rsidR="008E5715">
        <w:rPr>
          <w:sz w:val="26"/>
          <w:szCs w:val="26"/>
        </w:rPr>
        <w:t>- nationales et internationales -</w:t>
      </w:r>
      <w:r w:rsidR="007B7469">
        <w:rPr>
          <w:sz w:val="26"/>
          <w:szCs w:val="26"/>
        </w:rPr>
        <w:t xml:space="preserve"> </w:t>
      </w:r>
      <w:r w:rsidR="00FF4144" w:rsidRPr="00FF4144">
        <w:rPr>
          <w:sz w:val="26"/>
          <w:szCs w:val="26"/>
        </w:rPr>
        <w:t>plus larges</w:t>
      </w:r>
      <w:r w:rsidR="00464101">
        <w:rPr>
          <w:sz w:val="26"/>
          <w:szCs w:val="26"/>
        </w:rPr>
        <w:t xml:space="preserve"> (la réaction des pairs)</w:t>
      </w:r>
      <w:r w:rsidR="00FF4144" w:rsidRPr="00FF4144">
        <w:rPr>
          <w:sz w:val="26"/>
          <w:szCs w:val="26"/>
        </w:rPr>
        <w:t>. A titre illustratif, lorsqu’Unibail annonce la suppression de son dividende, le titre a perdu plus de 16% (27%, en contrôlant par l’indice de marché) et, dans la foulée (alors qu’il n’y a pas d’annonce officielle de la part de l’entreprise), Klepierre perd 9% (20%, en contrôlant par l’indice de marché). Les marchés peuvent anticiper qu’il n’y ait pas de raison que Klepierre maintienne son dividende alors qu’</w:t>
      </w:r>
      <w:r w:rsidR="00B81F6E">
        <w:rPr>
          <w:sz w:val="26"/>
          <w:szCs w:val="26"/>
        </w:rPr>
        <w:t xml:space="preserve">Unibail l’a </w:t>
      </w:r>
      <w:r w:rsidR="00BF5AA8">
        <w:rPr>
          <w:sz w:val="26"/>
          <w:szCs w:val="26"/>
        </w:rPr>
        <w:t xml:space="preserve">de son côté </w:t>
      </w:r>
      <w:r w:rsidR="00B81F6E">
        <w:rPr>
          <w:sz w:val="26"/>
          <w:szCs w:val="26"/>
        </w:rPr>
        <w:t>annulé. Deuxièmement</w:t>
      </w:r>
      <w:r w:rsidR="00FF4144" w:rsidRPr="00FF4144">
        <w:rPr>
          <w:sz w:val="26"/>
          <w:szCs w:val="26"/>
        </w:rPr>
        <w:t>, des exercices de communication orchestrés avant l’annonce offi</w:t>
      </w:r>
      <w:r w:rsidR="00464101">
        <w:rPr>
          <w:sz w:val="26"/>
          <w:szCs w:val="26"/>
        </w:rPr>
        <w:t>cielle en tant que telle laissent</w:t>
      </w:r>
      <w:r w:rsidR="00FF4144" w:rsidRPr="00FF4144">
        <w:rPr>
          <w:sz w:val="26"/>
          <w:szCs w:val="26"/>
        </w:rPr>
        <w:t xml:space="preserve"> présager de la décision</w:t>
      </w:r>
      <w:r w:rsidR="00E047A0">
        <w:rPr>
          <w:sz w:val="26"/>
          <w:szCs w:val="26"/>
        </w:rPr>
        <w:t xml:space="preserve"> finale</w:t>
      </w:r>
      <w:r w:rsidR="00FF4144" w:rsidRPr="00FF4144">
        <w:rPr>
          <w:sz w:val="26"/>
          <w:szCs w:val="26"/>
        </w:rPr>
        <w:t xml:space="preserve"> qui va être prise (le cas de Total).</w:t>
      </w:r>
      <w:r w:rsidR="00B81F6E">
        <w:rPr>
          <w:sz w:val="26"/>
          <w:szCs w:val="26"/>
        </w:rPr>
        <w:t xml:space="preserve"> Troisièmement, on pourrait nous re</w:t>
      </w:r>
      <w:r>
        <w:rPr>
          <w:sz w:val="26"/>
          <w:szCs w:val="26"/>
        </w:rPr>
        <w:t>proch</w:t>
      </w:r>
      <w:r w:rsidR="008E5715">
        <w:rPr>
          <w:sz w:val="26"/>
          <w:szCs w:val="26"/>
        </w:rPr>
        <w:t xml:space="preserve">er de ne pas procéder </w:t>
      </w:r>
      <w:r w:rsidR="00464101">
        <w:rPr>
          <w:sz w:val="26"/>
          <w:szCs w:val="26"/>
        </w:rPr>
        <w:t xml:space="preserve">à </w:t>
      </w:r>
      <w:r w:rsidR="00B81F6E">
        <w:rPr>
          <w:sz w:val="26"/>
          <w:szCs w:val="26"/>
        </w:rPr>
        <w:t>une étu</w:t>
      </w:r>
      <w:r>
        <w:rPr>
          <w:sz w:val="26"/>
          <w:szCs w:val="26"/>
        </w:rPr>
        <w:t>de événementielle classique</w:t>
      </w:r>
      <w:r w:rsidR="008E5715">
        <w:rPr>
          <w:sz w:val="26"/>
          <w:szCs w:val="26"/>
        </w:rPr>
        <w:t>,</w:t>
      </w:r>
      <w:r>
        <w:rPr>
          <w:sz w:val="26"/>
          <w:szCs w:val="26"/>
        </w:rPr>
        <w:t xml:space="preserve"> architecturée autour d’un processus de comparaison entre une</w:t>
      </w:r>
      <w:r w:rsidR="00B81F6E">
        <w:rPr>
          <w:sz w:val="26"/>
          <w:szCs w:val="26"/>
        </w:rPr>
        <w:t xml:space="preserve"> rentabilité observée</w:t>
      </w:r>
      <w:r>
        <w:rPr>
          <w:sz w:val="26"/>
          <w:szCs w:val="26"/>
        </w:rPr>
        <w:t xml:space="preserve"> au moment de l’annonce</w:t>
      </w:r>
      <w:r w:rsidR="00B81F6E">
        <w:rPr>
          <w:sz w:val="26"/>
          <w:szCs w:val="26"/>
        </w:rPr>
        <w:t xml:space="preserve"> et une rentabilité estimée</w:t>
      </w:r>
      <w:r>
        <w:rPr>
          <w:sz w:val="26"/>
          <w:szCs w:val="26"/>
        </w:rPr>
        <w:t xml:space="preserve"> sur un intervalle de temps plus ou moins long </w:t>
      </w:r>
      <w:r w:rsidR="00464101">
        <w:rPr>
          <w:sz w:val="26"/>
          <w:szCs w:val="26"/>
        </w:rPr>
        <w:t xml:space="preserve">et </w:t>
      </w:r>
      <w:r>
        <w:rPr>
          <w:sz w:val="26"/>
          <w:szCs w:val="26"/>
        </w:rPr>
        <w:t>exogène à l’événement analysé</w:t>
      </w:r>
      <w:r w:rsidR="00B81F6E">
        <w:rPr>
          <w:sz w:val="26"/>
          <w:szCs w:val="26"/>
        </w:rPr>
        <w:t>. A cette remarque, nous</w:t>
      </w:r>
      <w:r w:rsidR="004005A7">
        <w:rPr>
          <w:sz w:val="26"/>
          <w:szCs w:val="26"/>
        </w:rPr>
        <w:t xml:space="preserve"> object</w:t>
      </w:r>
      <w:r w:rsidR="00B81F6E">
        <w:rPr>
          <w:sz w:val="26"/>
          <w:szCs w:val="26"/>
        </w:rPr>
        <w:t>ons que, pour les annonces des mois de mai et de juin, les périodes d’estimation empièteraient</w:t>
      </w:r>
      <w:r w:rsidR="004005A7">
        <w:rPr>
          <w:sz w:val="26"/>
          <w:szCs w:val="26"/>
        </w:rPr>
        <w:t xml:space="preserve"> sur les mois de février et mars durant lesquels des annonces ayant les mêmes contenus informationnels – même si ne concernant pas les mêmes entreprises – se sont opérées pour un ensemble important d’entreprises. Et donc, la période d’estimation ne constituerait pas un lieu temporel vierge qui permettrait d’estimer la rentabilité du titre au départ de la rentabilité du marché.</w:t>
      </w:r>
    </w:p>
    <w:p w:rsidR="008E5715" w:rsidRDefault="00C67137" w:rsidP="008E5715">
      <w:pPr>
        <w:ind w:left="426"/>
        <w:jc w:val="both"/>
        <w:rPr>
          <w:sz w:val="26"/>
          <w:szCs w:val="26"/>
        </w:rPr>
      </w:pPr>
      <w:r>
        <w:rPr>
          <w:sz w:val="26"/>
          <w:szCs w:val="26"/>
        </w:rPr>
        <w:t>La méthodologie qui a été retenu</w:t>
      </w:r>
      <w:r w:rsidR="008E5715">
        <w:rPr>
          <w:sz w:val="26"/>
          <w:szCs w:val="26"/>
        </w:rPr>
        <w:t>e</w:t>
      </w:r>
      <w:r>
        <w:rPr>
          <w:sz w:val="26"/>
          <w:szCs w:val="26"/>
        </w:rPr>
        <w:t xml:space="preserve"> est celle du test de comparaison de moyenne. Concrètement, nous avions à disposition toutes les rentabilités au moment de l’annonce du versement des dividendes (annulations, confirmations et réductions) </w:t>
      </w:r>
      <w:r w:rsidR="003B71BC">
        <w:rPr>
          <w:sz w:val="26"/>
          <w:szCs w:val="26"/>
        </w:rPr>
        <w:t>; notre idée a été de repérer dans quelle mesure</w:t>
      </w:r>
      <w:r>
        <w:rPr>
          <w:sz w:val="26"/>
          <w:szCs w:val="26"/>
        </w:rPr>
        <w:t xml:space="preserve"> les différences dans les moyennes</w:t>
      </w:r>
      <w:r w:rsidR="00464101">
        <w:rPr>
          <w:sz w:val="26"/>
          <w:szCs w:val="26"/>
        </w:rPr>
        <w:t xml:space="preserve"> en fonction des annonces</w:t>
      </w:r>
      <w:r>
        <w:rPr>
          <w:sz w:val="26"/>
          <w:szCs w:val="26"/>
        </w:rPr>
        <w:t xml:space="preserve"> étaient statistiquement significatives. L’hypothèse nulle de ce test est que les deux moyennes</w:t>
      </w:r>
      <w:r w:rsidR="008A6AF2">
        <w:rPr>
          <w:sz w:val="26"/>
          <w:szCs w:val="26"/>
        </w:rPr>
        <w:t xml:space="preserve"> (m1, m2)</w:t>
      </w:r>
      <w:r>
        <w:rPr>
          <w:sz w:val="26"/>
          <w:szCs w:val="26"/>
        </w:rPr>
        <w:t xml:space="preserve"> sont égales </w:t>
      </w:r>
      <w:r w:rsidR="008A6AF2">
        <w:rPr>
          <w:sz w:val="26"/>
          <w:szCs w:val="26"/>
        </w:rPr>
        <w:t xml:space="preserve">(m1=m2) </w:t>
      </w:r>
      <w:r>
        <w:rPr>
          <w:sz w:val="26"/>
          <w:szCs w:val="26"/>
        </w:rPr>
        <w:t>et l’hypothèse alternative est que les deux moyennes sont différentes</w:t>
      </w:r>
      <w:r w:rsidR="008A6AF2">
        <w:rPr>
          <w:sz w:val="26"/>
          <w:szCs w:val="26"/>
        </w:rPr>
        <w:t xml:space="preserve"> (m1</w:t>
      </w:r>
      <w:r w:rsidR="008A6AF2">
        <w:rPr>
          <w:rFonts w:cstheme="minorHAnsi"/>
          <w:sz w:val="26"/>
          <w:szCs w:val="26"/>
        </w:rPr>
        <w:t>≠</w:t>
      </w:r>
      <w:r w:rsidR="008A6AF2">
        <w:rPr>
          <w:sz w:val="26"/>
          <w:szCs w:val="26"/>
        </w:rPr>
        <w:t>m2)</w:t>
      </w:r>
      <w:r>
        <w:rPr>
          <w:sz w:val="26"/>
          <w:szCs w:val="26"/>
        </w:rPr>
        <w:t>. Dans le cas de nos observations, la variance est conn</w:t>
      </w:r>
      <w:r w:rsidR="008E5715">
        <w:rPr>
          <w:sz w:val="26"/>
          <w:szCs w:val="26"/>
        </w:rPr>
        <w:t>ue et donc, nous travaill</w:t>
      </w:r>
      <w:r w:rsidR="003B71BC">
        <w:rPr>
          <w:sz w:val="26"/>
          <w:szCs w:val="26"/>
        </w:rPr>
        <w:t xml:space="preserve">ons avec </w:t>
      </w:r>
      <w:r>
        <w:rPr>
          <w:sz w:val="26"/>
          <w:szCs w:val="26"/>
        </w:rPr>
        <w:t>une statistique Z.</w:t>
      </w:r>
      <w:r w:rsidR="008A6AF2">
        <w:rPr>
          <w:sz w:val="26"/>
          <w:szCs w:val="26"/>
        </w:rPr>
        <w:t xml:space="preserve"> En acceptant l’hypothèse nulle, alors les deux échantillons proviennent d’une même population avec une moyenne </w:t>
      </w:r>
      <w:r w:rsidR="008A6AF2">
        <w:rPr>
          <w:rFonts w:cstheme="minorHAnsi"/>
          <w:sz w:val="26"/>
          <w:szCs w:val="26"/>
        </w:rPr>
        <w:t>µ</w:t>
      </w:r>
      <w:r w:rsidR="008A6AF2">
        <w:rPr>
          <w:sz w:val="26"/>
          <w:szCs w:val="26"/>
        </w:rPr>
        <w:t>. En la refusant, alors le</w:t>
      </w:r>
      <w:r w:rsidR="008A6AF2" w:rsidRPr="008A6AF2">
        <w:rPr>
          <w:sz w:val="26"/>
          <w:szCs w:val="26"/>
        </w:rPr>
        <w:t>s échantillons de moyenne m1 et m2 n'appartiennent pas à la même population de référence dont la moye</w:t>
      </w:r>
      <w:r w:rsidR="008A6AF2">
        <w:rPr>
          <w:sz w:val="26"/>
          <w:szCs w:val="26"/>
        </w:rPr>
        <w:t>nne est µ mais appartiennent à deux</w:t>
      </w:r>
      <w:r w:rsidR="008A6AF2" w:rsidRPr="008A6AF2">
        <w:rPr>
          <w:sz w:val="26"/>
          <w:szCs w:val="26"/>
        </w:rPr>
        <w:t xml:space="preserve"> populations distinctes dont les moyennes respectives µ1 et µ2 sont </w:t>
      </w:r>
      <w:r w:rsidR="008A6AF2">
        <w:rPr>
          <w:sz w:val="26"/>
          <w:szCs w:val="26"/>
        </w:rPr>
        <w:t>telles que µ1 est plus grande ou plus petite ou</w:t>
      </w:r>
      <w:r w:rsidR="003B71BC">
        <w:rPr>
          <w:sz w:val="26"/>
          <w:szCs w:val="26"/>
        </w:rPr>
        <w:t xml:space="preserve"> différente de</w:t>
      </w:r>
      <w:r w:rsidR="008A6AF2" w:rsidRPr="008A6AF2">
        <w:rPr>
          <w:sz w:val="26"/>
          <w:szCs w:val="26"/>
        </w:rPr>
        <w:t xml:space="preserve"> µ2</w:t>
      </w:r>
      <w:r w:rsidR="008A6AF2">
        <w:rPr>
          <w:sz w:val="26"/>
          <w:szCs w:val="26"/>
        </w:rPr>
        <w:t>.</w:t>
      </w:r>
    </w:p>
    <w:p w:rsidR="000E1074" w:rsidRDefault="000E1074" w:rsidP="00FF4144">
      <w:pPr>
        <w:ind w:left="426"/>
        <w:jc w:val="both"/>
        <w:rPr>
          <w:sz w:val="26"/>
          <w:szCs w:val="26"/>
        </w:rPr>
      </w:pPr>
      <w:r>
        <w:rPr>
          <w:sz w:val="26"/>
          <w:szCs w:val="26"/>
        </w:rPr>
        <w:t>La statistique observée s’écrit comme suit :</w:t>
      </w:r>
    </w:p>
    <w:p w:rsidR="000E1074" w:rsidRDefault="000E1074" w:rsidP="00FF4144">
      <w:pPr>
        <w:ind w:left="426"/>
        <w:jc w:val="both"/>
        <w:rPr>
          <w:sz w:val="28"/>
          <w:szCs w:val="28"/>
          <w:u w:val="single"/>
        </w:rPr>
      </w:pPr>
      <w:r>
        <w:rPr>
          <w:noProof/>
          <w:lang w:eastAsia="fr-BE"/>
        </w:rPr>
        <w:drawing>
          <wp:inline distT="0" distB="0" distL="0" distR="0" wp14:anchorId="7FC6F6C0" wp14:editId="1C9B46E1">
            <wp:extent cx="1438275" cy="409575"/>
            <wp:effectExtent l="0" t="0" r="9525" b="9525"/>
            <wp:docPr id="2" name="Image 2" descr="$$ Z_{observ\acute{e}} = \frac{m_1 - m_2}{\sqrt {\frac{\sigma 1^{2}}{n_1} + \frac{\sigma 2^{2}}{n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Z_{observ\acute{e}} = \frac{m_1 - m_2}{\sqrt {\frac{\sigma 1^{2}}{n_1} + \frac{\sigma 2^{2}}{n_2}}}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409575"/>
                    </a:xfrm>
                    <a:prstGeom prst="rect">
                      <a:avLst/>
                    </a:prstGeom>
                    <a:noFill/>
                    <a:ln>
                      <a:noFill/>
                    </a:ln>
                  </pic:spPr>
                </pic:pic>
              </a:graphicData>
            </a:graphic>
          </wp:inline>
        </w:drawing>
      </w:r>
    </w:p>
    <w:p w:rsidR="008E5715" w:rsidRPr="008E5715" w:rsidRDefault="008E5715" w:rsidP="008E5715">
      <w:pPr>
        <w:ind w:left="426"/>
        <w:jc w:val="both"/>
        <w:rPr>
          <w:sz w:val="26"/>
          <w:szCs w:val="26"/>
        </w:rPr>
      </w:pPr>
      <w:r w:rsidRPr="008E5715">
        <w:rPr>
          <w:sz w:val="26"/>
          <w:szCs w:val="26"/>
        </w:rPr>
        <w:t xml:space="preserve">Et donc dans le cas de nos </w:t>
      </w:r>
      <w:r>
        <w:rPr>
          <w:sz w:val="26"/>
          <w:szCs w:val="26"/>
        </w:rPr>
        <w:t xml:space="preserve">deux </w:t>
      </w:r>
      <w:r w:rsidRPr="008E5715">
        <w:rPr>
          <w:sz w:val="26"/>
          <w:szCs w:val="26"/>
        </w:rPr>
        <w:t xml:space="preserve">questions de recherche, </w:t>
      </w:r>
      <w:r>
        <w:rPr>
          <w:sz w:val="26"/>
          <w:szCs w:val="26"/>
        </w:rPr>
        <w:t>dans le premier cas de figure (l’ensemble des observations), nous devrions refuser l’hypothèse nulle</w:t>
      </w:r>
      <w:r w:rsidR="00CB02E5">
        <w:rPr>
          <w:sz w:val="26"/>
          <w:szCs w:val="26"/>
        </w:rPr>
        <w:t xml:space="preserve"> (</w:t>
      </w:r>
      <w:r w:rsidR="00CB02E5">
        <w:rPr>
          <w:rFonts w:cstheme="minorHAnsi"/>
          <w:sz w:val="26"/>
          <w:szCs w:val="26"/>
        </w:rPr>
        <w:t>µ</w:t>
      </w:r>
      <w:r>
        <w:rPr>
          <w:sz w:val="26"/>
          <w:szCs w:val="26"/>
        </w:rPr>
        <w:t>1</w:t>
      </w:r>
      <w:r w:rsidRPr="008E5715">
        <w:rPr>
          <w:sz w:val="26"/>
          <w:szCs w:val="26"/>
        </w:rPr>
        <w:t>≠</w:t>
      </w:r>
      <w:r w:rsidR="00CB02E5">
        <w:rPr>
          <w:rFonts w:cstheme="minorHAnsi"/>
          <w:sz w:val="26"/>
          <w:szCs w:val="26"/>
        </w:rPr>
        <w:t>µ</w:t>
      </w:r>
      <w:r>
        <w:rPr>
          <w:sz w:val="26"/>
          <w:szCs w:val="26"/>
        </w:rPr>
        <w:t>2)</w:t>
      </w:r>
      <w:r w:rsidR="003B71BC">
        <w:rPr>
          <w:sz w:val="26"/>
          <w:szCs w:val="26"/>
        </w:rPr>
        <w:t xml:space="preserve"> et valider des réactions moyennes différentes en fonction du type d’annonce. D</w:t>
      </w:r>
      <w:r>
        <w:rPr>
          <w:sz w:val="26"/>
          <w:szCs w:val="26"/>
        </w:rPr>
        <w:t>ans le deuxième cas (annonces post 27 mars), nous devrions l’</w:t>
      </w:r>
      <w:r w:rsidR="00CB02E5">
        <w:rPr>
          <w:sz w:val="26"/>
          <w:szCs w:val="26"/>
        </w:rPr>
        <w:t>accepter (</w:t>
      </w:r>
      <w:r w:rsidR="00CB02E5">
        <w:rPr>
          <w:rFonts w:cstheme="minorHAnsi"/>
          <w:sz w:val="26"/>
          <w:szCs w:val="26"/>
        </w:rPr>
        <w:t>µ</w:t>
      </w:r>
      <w:r w:rsidR="00CB02E5">
        <w:rPr>
          <w:sz w:val="26"/>
          <w:szCs w:val="26"/>
        </w:rPr>
        <w:t>1=</w:t>
      </w:r>
      <w:r w:rsidR="00CB02E5">
        <w:rPr>
          <w:rFonts w:cstheme="minorHAnsi"/>
          <w:sz w:val="26"/>
          <w:szCs w:val="26"/>
        </w:rPr>
        <w:t>µ</w:t>
      </w:r>
      <w:r w:rsidR="003B71BC">
        <w:rPr>
          <w:sz w:val="26"/>
          <w:szCs w:val="26"/>
        </w:rPr>
        <w:t>2) et donc conclure que les effets moyens ne dépendent pas des annonces effectuées.</w:t>
      </w:r>
    </w:p>
    <w:p w:rsidR="00DD244A" w:rsidRDefault="00DD244A" w:rsidP="00DD244A">
      <w:pPr>
        <w:pStyle w:val="Paragraphedeliste"/>
        <w:numPr>
          <w:ilvl w:val="1"/>
          <w:numId w:val="1"/>
        </w:numPr>
        <w:jc w:val="both"/>
        <w:rPr>
          <w:sz w:val="28"/>
          <w:szCs w:val="28"/>
          <w:u w:val="single"/>
        </w:rPr>
      </w:pPr>
      <w:r>
        <w:rPr>
          <w:sz w:val="28"/>
          <w:szCs w:val="28"/>
          <w:u w:val="single"/>
        </w:rPr>
        <w:t>Echantillonnage</w:t>
      </w:r>
    </w:p>
    <w:p w:rsidR="00DD244A" w:rsidRDefault="00DD244A" w:rsidP="00DD244A">
      <w:pPr>
        <w:ind w:left="360"/>
        <w:jc w:val="both"/>
        <w:rPr>
          <w:sz w:val="26"/>
          <w:szCs w:val="26"/>
          <w:u w:val="single"/>
        </w:rPr>
      </w:pPr>
      <w:r w:rsidRPr="00DD244A">
        <w:rPr>
          <w:sz w:val="26"/>
          <w:szCs w:val="26"/>
          <w:u w:val="single"/>
        </w:rPr>
        <w:t>Tableau 1</w:t>
      </w:r>
      <w:r w:rsidR="003F3D23">
        <w:rPr>
          <w:sz w:val="26"/>
          <w:szCs w:val="26"/>
          <w:u w:val="single"/>
        </w:rPr>
        <w:t> : Ensemble des annonces effectuées dans le cadre de la gestion des versements de dividendes</w:t>
      </w:r>
    </w:p>
    <w:tbl>
      <w:tblPr>
        <w:tblStyle w:val="Tableausimple1"/>
        <w:tblW w:w="8646" w:type="dxa"/>
        <w:tblInd w:w="421" w:type="dxa"/>
        <w:tblLook w:val="04A0" w:firstRow="1" w:lastRow="0" w:firstColumn="1" w:lastColumn="0" w:noHBand="0" w:noVBand="1"/>
      </w:tblPr>
      <w:tblGrid>
        <w:gridCol w:w="2551"/>
        <w:gridCol w:w="966"/>
        <w:gridCol w:w="2380"/>
        <w:gridCol w:w="2907"/>
      </w:tblGrid>
      <w:tr w:rsidR="00DD244A" w:rsidRPr="00DD244A" w:rsidTr="00502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Pr>
                <w:rFonts w:ascii="Calibri" w:eastAsia="Times New Roman" w:hAnsi="Calibri" w:cs="Calibri"/>
                <w:color w:val="000000"/>
                <w:lang w:eastAsia="fr-BE"/>
              </w:rPr>
              <w:t>Type de décisions sur le versement de dividendes</w:t>
            </w:r>
          </w:p>
        </w:tc>
        <w:tc>
          <w:tcPr>
            <w:tcW w:w="808" w:type="dxa"/>
            <w:noWrap/>
            <w:hideMark/>
          </w:tcPr>
          <w:p w:rsidR="00DD244A" w:rsidRPr="00DD244A" w:rsidRDefault="00DD244A" w:rsidP="00DD24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N</w:t>
            </w:r>
            <w:r w:rsidRPr="00DD244A">
              <w:rPr>
                <w:rFonts w:ascii="Calibri" w:eastAsia="Times New Roman" w:hAnsi="Calibri" w:cs="Calibri"/>
                <w:color w:val="000000"/>
                <w:lang w:eastAsia="fr-BE"/>
              </w:rPr>
              <w:t>ombre</w:t>
            </w:r>
          </w:p>
        </w:tc>
        <w:tc>
          <w:tcPr>
            <w:tcW w:w="2380" w:type="dxa"/>
            <w:noWrap/>
            <w:hideMark/>
          </w:tcPr>
          <w:p w:rsidR="00DD244A" w:rsidRPr="00DD244A" w:rsidRDefault="00DD244A" w:rsidP="00DD24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Pourcentage dans</w:t>
            </w:r>
            <w:r w:rsidRPr="00DD244A">
              <w:rPr>
                <w:rFonts w:ascii="Calibri" w:eastAsia="Times New Roman" w:hAnsi="Calibri" w:cs="Calibri"/>
                <w:color w:val="000000"/>
                <w:lang w:eastAsia="fr-BE"/>
              </w:rPr>
              <w:t xml:space="preserve"> le total</w:t>
            </w:r>
          </w:p>
        </w:tc>
        <w:tc>
          <w:tcPr>
            <w:tcW w:w="2907" w:type="dxa"/>
            <w:noWrap/>
            <w:hideMark/>
          </w:tcPr>
          <w:p w:rsidR="00DD244A" w:rsidRPr="00DD244A" w:rsidRDefault="00DD244A" w:rsidP="00DD24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P</w:t>
            </w:r>
            <w:r w:rsidRPr="00DD244A">
              <w:rPr>
                <w:rFonts w:ascii="Calibri" w:eastAsia="Times New Roman" w:hAnsi="Calibri" w:cs="Calibri"/>
                <w:color w:val="000000"/>
                <w:lang w:eastAsia="fr-BE"/>
              </w:rPr>
              <w:t>ourcentage</w:t>
            </w:r>
            <w:r>
              <w:rPr>
                <w:rFonts w:ascii="Calibri" w:eastAsia="Times New Roman" w:hAnsi="Calibri" w:cs="Calibri"/>
                <w:color w:val="000000"/>
                <w:lang w:eastAsia="fr-BE"/>
              </w:rPr>
              <w:t xml:space="preserve"> dans le total des</w:t>
            </w:r>
            <w:r w:rsidRPr="00DD244A">
              <w:rPr>
                <w:rFonts w:ascii="Calibri" w:eastAsia="Times New Roman" w:hAnsi="Calibri" w:cs="Calibri"/>
                <w:color w:val="000000"/>
                <w:lang w:eastAsia="fr-BE"/>
              </w:rPr>
              <w:t xml:space="preserve"> informations accessibles</w:t>
            </w:r>
          </w:p>
        </w:tc>
      </w:tr>
      <w:tr w:rsidR="00DD244A" w:rsidRPr="00DD244A" w:rsidTr="00502A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sidRPr="00DD244A">
              <w:rPr>
                <w:rFonts w:ascii="Calibri" w:eastAsia="Times New Roman" w:hAnsi="Calibri" w:cs="Calibri"/>
                <w:color w:val="000000"/>
                <w:lang w:eastAsia="fr-BE"/>
              </w:rPr>
              <w:t>Annulés</w:t>
            </w:r>
          </w:p>
        </w:tc>
        <w:tc>
          <w:tcPr>
            <w:tcW w:w="808"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54</w:t>
            </w:r>
          </w:p>
        </w:tc>
        <w:tc>
          <w:tcPr>
            <w:tcW w:w="2380"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0,45</w:t>
            </w:r>
          </w:p>
        </w:tc>
        <w:tc>
          <w:tcPr>
            <w:tcW w:w="2907"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0,51</w:t>
            </w:r>
          </w:p>
        </w:tc>
      </w:tr>
      <w:tr w:rsidR="00DD244A" w:rsidRPr="00DD244A" w:rsidTr="00502AB2">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Pr>
                <w:rFonts w:ascii="Calibri" w:eastAsia="Times New Roman" w:hAnsi="Calibri" w:cs="Calibri"/>
                <w:color w:val="000000"/>
                <w:lang w:eastAsia="fr-BE"/>
              </w:rPr>
              <w:t>R</w:t>
            </w:r>
            <w:r w:rsidRPr="00DD244A">
              <w:rPr>
                <w:rFonts w:ascii="Calibri" w:eastAsia="Times New Roman" w:hAnsi="Calibri" w:cs="Calibri"/>
                <w:color w:val="000000"/>
                <w:lang w:eastAsia="fr-BE"/>
              </w:rPr>
              <w:t>éduits</w:t>
            </w:r>
          </w:p>
        </w:tc>
        <w:tc>
          <w:tcPr>
            <w:tcW w:w="808"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34</w:t>
            </w:r>
          </w:p>
        </w:tc>
        <w:tc>
          <w:tcPr>
            <w:tcW w:w="2380"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0,2833</w:t>
            </w:r>
          </w:p>
        </w:tc>
        <w:tc>
          <w:tcPr>
            <w:tcW w:w="2907"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0,32</w:t>
            </w:r>
          </w:p>
        </w:tc>
      </w:tr>
      <w:tr w:rsidR="00DD244A" w:rsidRPr="00DD244A" w:rsidTr="00502A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Pr>
                <w:rFonts w:ascii="Calibri" w:eastAsia="Times New Roman" w:hAnsi="Calibri" w:cs="Calibri"/>
                <w:color w:val="000000"/>
                <w:lang w:eastAsia="fr-BE"/>
              </w:rPr>
              <w:t>C</w:t>
            </w:r>
            <w:r w:rsidRPr="00DD244A">
              <w:rPr>
                <w:rFonts w:ascii="Calibri" w:eastAsia="Times New Roman" w:hAnsi="Calibri" w:cs="Calibri"/>
                <w:color w:val="000000"/>
                <w:lang w:eastAsia="fr-BE"/>
              </w:rPr>
              <w:t>onfirmés</w:t>
            </w:r>
          </w:p>
        </w:tc>
        <w:tc>
          <w:tcPr>
            <w:tcW w:w="808"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18</w:t>
            </w:r>
          </w:p>
        </w:tc>
        <w:tc>
          <w:tcPr>
            <w:tcW w:w="2380"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0,15</w:t>
            </w:r>
          </w:p>
        </w:tc>
        <w:tc>
          <w:tcPr>
            <w:tcW w:w="2907"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0,17</w:t>
            </w:r>
          </w:p>
        </w:tc>
      </w:tr>
      <w:tr w:rsidR="00DD244A" w:rsidRPr="00DD244A" w:rsidTr="00502AB2">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sidRPr="00DD244A">
              <w:rPr>
                <w:rFonts w:ascii="Calibri" w:eastAsia="Times New Roman" w:hAnsi="Calibri" w:cs="Calibri"/>
                <w:color w:val="000000"/>
                <w:lang w:eastAsia="fr-BE"/>
              </w:rPr>
              <w:t>Total des communications</w:t>
            </w:r>
          </w:p>
        </w:tc>
        <w:tc>
          <w:tcPr>
            <w:tcW w:w="808"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106</w:t>
            </w:r>
          </w:p>
        </w:tc>
        <w:tc>
          <w:tcPr>
            <w:tcW w:w="2380"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p>
        </w:tc>
        <w:tc>
          <w:tcPr>
            <w:tcW w:w="2907"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fr-BE"/>
              </w:rPr>
            </w:pPr>
          </w:p>
        </w:tc>
      </w:tr>
      <w:tr w:rsidR="00DD244A" w:rsidRPr="00DD244A" w:rsidTr="00502A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Pr>
                <w:rFonts w:ascii="Calibri" w:eastAsia="Times New Roman" w:hAnsi="Calibri" w:cs="Calibri"/>
                <w:color w:val="000000"/>
                <w:lang w:eastAsia="fr-BE"/>
              </w:rPr>
              <w:t>P</w:t>
            </w:r>
            <w:r w:rsidRPr="00DD244A">
              <w:rPr>
                <w:rFonts w:ascii="Calibri" w:eastAsia="Times New Roman" w:hAnsi="Calibri" w:cs="Calibri"/>
                <w:color w:val="000000"/>
                <w:lang w:eastAsia="fr-BE"/>
              </w:rPr>
              <w:t>ublication décalée</w:t>
            </w:r>
          </w:p>
        </w:tc>
        <w:tc>
          <w:tcPr>
            <w:tcW w:w="808"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4</w:t>
            </w:r>
          </w:p>
        </w:tc>
        <w:tc>
          <w:tcPr>
            <w:tcW w:w="2380"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0,0333</w:t>
            </w:r>
          </w:p>
        </w:tc>
        <w:tc>
          <w:tcPr>
            <w:tcW w:w="2907"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p>
        </w:tc>
      </w:tr>
      <w:tr w:rsidR="00DD244A" w:rsidRPr="00DD244A" w:rsidTr="00502AB2">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Pr>
                <w:rFonts w:ascii="Calibri" w:eastAsia="Times New Roman" w:hAnsi="Calibri" w:cs="Calibri"/>
                <w:color w:val="000000"/>
                <w:lang w:eastAsia="fr-BE"/>
              </w:rPr>
              <w:t>P</w:t>
            </w:r>
            <w:r w:rsidRPr="00DD244A">
              <w:rPr>
                <w:rFonts w:ascii="Calibri" w:eastAsia="Times New Roman" w:hAnsi="Calibri" w:cs="Calibri"/>
                <w:color w:val="000000"/>
                <w:lang w:eastAsia="fr-BE"/>
              </w:rPr>
              <w:t>as de versement</w:t>
            </w:r>
          </w:p>
        </w:tc>
        <w:tc>
          <w:tcPr>
            <w:tcW w:w="808"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8</w:t>
            </w:r>
          </w:p>
        </w:tc>
        <w:tc>
          <w:tcPr>
            <w:tcW w:w="2380"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0,0666</w:t>
            </w:r>
          </w:p>
        </w:tc>
        <w:tc>
          <w:tcPr>
            <w:tcW w:w="2907" w:type="dxa"/>
            <w:noWrap/>
            <w:hideMark/>
          </w:tcPr>
          <w:p w:rsidR="00DD244A" w:rsidRPr="00DD244A" w:rsidRDefault="00DD244A" w:rsidP="00DD24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p>
        </w:tc>
      </w:tr>
      <w:tr w:rsidR="00DD244A" w:rsidRPr="00DD244A" w:rsidTr="00502A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Pr>
                <w:rFonts w:ascii="Calibri" w:eastAsia="Times New Roman" w:hAnsi="Calibri" w:cs="Calibri"/>
                <w:color w:val="000000"/>
                <w:lang w:eastAsia="fr-BE"/>
              </w:rPr>
              <w:t>I</w:t>
            </w:r>
            <w:r w:rsidRPr="00DD244A">
              <w:rPr>
                <w:rFonts w:ascii="Calibri" w:eastAsia="Times New Roman" w:hAnsi="Calibri" w:cs="Calibri"/>
                <w:color w:val="000000"/>
                <w:lang w:eastAsia="fr-BE"/>
              </w:rPr>
              <w:t>nformation manquante</w:t>
            </w:r>
          </w:p>
        </w:tc>
        <w:tc>
          <w:tcPr>
            <w:tcW w:w="808"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1</w:t>
            </w:r>
          </w:p>
        </w:tc>
        <w:tc>
          <w:tcPr>
            <w:tcW w:w="2380"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0,0083</w:t>
            </w:r>
          </w:p>
        </w:tc>
        <w:tc>
          <w:tcPr>
            <w:tcW w:w="2907" w:type="dxa"/>
            <w:noWrap/>
            <w:hideMark/>
          </w:tcPr>
          <w:p w:rsidR="00DD244A" w:rsidRPr="00DD244A" w:rsidRDefault="00DD244A" w:rsidP="00DD24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p>
        </w:tc>
      </w:tr>
      <w:tr w:rsidR="00DD244A" w:rsidRPr="00DD244A" w:rsidTr="00502AB2">
        <w:trPr>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DD244A" w:rsidP="00DD244A">
            <w:pPr>
              <w:rPr>
                <w:rFonts w:ascii="Calibri" w:eastAsia="Times New Roman" w:hAnsi="Calibri" w:cs="Calibri"/>
                <w:color w:val="000000"/>
                <w:lang w:eastAsia="fr-BE"/>
              </w:rPr>
            </w:pPr>
            <w:r>
              <w:rPr>
                <w:rFonts w:ascii="Calibri" w:eastAsia="Times New Roman" w:hAnsi="Calibri" w:cs="Calibri"/>
                <w:color w:val="000000"/>
                <w:lang w:eastAsia="fr-BE"/>
              </w:rPr>
              <w:t>R</w:t>
            </w:r>
            <w:r w:rsidR="00E366F5">
              <w:rPr>
                <w:rFonts w:ascii="Calibri" w:eastAsia="Times New Roman" w:hAnsi="Calibri" w:cs="Calibri"/>
                <w:color w:val="000000"/>
                <w:lang w:eastAsia="fr-BE"/>
              </w:rPr>
              <w:t>etrait de la cote (Altran)</w:t>
            </w:r>
          </w:p>
        </w:tc>
        <w:tc>
          <w:tcPr>
            <w:tcW w:w="808" w:type="dxa"/>
            <w:noWrap/>
            <w:hideMark/>
          </w:tcPr>
          <w:p w:rsidR="00DD244A" w:rsidRPr="00DD244A" w:rsidRDefault="00DD244A" w:rsidP="00DD74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1</w:t>
            </w:r>
          </w:p>
        </w:tc>
        <w:tc>
          <w:tcPr>
            <w:tcW w:w="2380" w:type="dxa"/>
            <w:noWrap/>
            <w:hideMark/>
          </w:tcPr>
          <w:p w:rsidR="00DD244A" w:rsidRPr="00DD244A" w:rsidRDefault="00DD74C6" w:rsidP="00DD74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r>
              <w:rPr>
                <w:rFonts w:ascii="Calibri" w:eastAsia="Times New Roman" w:hAnsi="Calibri" w:cs="Calibri"/>
                <w:color w:val="000000"/>
                <w:lang w:eastAsia="fr-BE"/>
              </w:rPr>
              <w:t>0,0083</w:t>
            </w:r>
          </w:p>
        </w:tc>
        <w:tc>
          <w:tcPr>
            <w:tcW w:w="2907" w:type="dxa"/>
            <w:noWrap/>
            <w:hideMark/>
          </w:tcPr>
          <w:p w:rsidR="00DD244A" w:rsidRPr="00DD244A" w:rsidRDefault="00DD244A" w:rsidP="00DD74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fr-BE"/>
              </w:rPr>
            </w:pPr>
          </w:p>
        </w:tc>
      </w:tr>
      <w:tr w:rsidR="00DD244A" w:rsidRPr="00DD244A" w:rsidTr="00502AB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1" w:type="dxa"/>
            <w:noWrap/>
            <w:hideMark/>
          </w:tcPr>
          <w:p w:rsidR="00DD244A" w:rsidRPr="00DD244A" w:rsidRDefault="00FB017A" w:rsidP="00DD244A">
            <w:pPr>
              <w:rPr>
                <w:rFonts w:ascii="Calibri" w:eastAsia="Times New Roman" w:hAnsi="Calibri" w:cs="Calibri"/>
                <w:color w:val="000000"/>
                <w:lang w:eastAsia="fr-BE"/>
              </w:rPr>
            </w:pPr>
            <w:r w:rsidRPr="00DD244A">
              <w:rPr>
                <w:rFonts w:ascii="Calibri" w:eastAsia="Times New Roman" w:hAnsi="Calibri" w:cs="Calibri"/>
                <w:color w:val="000000"/>
                <w:lang w:eastAsia="fr-BE"/>
              </w:rPr>
              <w:t>T</w:t>
            </w:r>
            <w:r w:rsidR="00DD244A" w:rsidRPr="00DD244A">
              <w:rPr>
                <w:rFonts w:ascii="Calibri" w:eastAsia="Times New Roman" w:hAnsi="Calibri" w:cs="Calibri"/>
                <w:color w:val="000000"/>
                <w:lang w:eastAsia="fr-BE"/>
              </w:rPr>
              <w:t>otal</w:t>
            </w:r>
          </w:p>
        </w:tc>
        <w:tc>
          <w:tcPr>
            <w:tcW w:w="808" w:type="dxa"/>
            <w:noWrap/>
            <w:hideMark/>
          </w:tcPr>
          <w:p w:rsidR="00DD244A" w:rsidRPr="00DD244A" w:rsidRDefault="00DD244A" w:rsidP="00DD74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120</w:t>
            </w:r>
          </w:p>
        </w:tc>
        <w:tc>
          <w:tcPr>
            <w:tcW w:w="2380" w:type="dxa"/>
            <w:noWrap/>
            <w:hideMark/>
          </w:tcPr>
          <w:p w:rsidR="00DD244A" w:rsidRPr="00DD244A" w:rsidRDefault="00DD244A" w:rsidP="00DD74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r w:rsidRPr="00DD244A">
              <w:rPr>
                <w:rFonts w:ascii="Calibri" w:eastAsia="Times New Roman" w:hAnsi="Calibri" w:cs="Calibri"/>
                <w:color w:val="000000"/>
                <w:lang w:eastAsia="fr-BE"/>
              </w:rPr>
              <w:t>1</w:t>
            </w:r>
          </w:p>
        </w:tc>
        <w:tc>
          <w:tcPr>
            <w:tcW w:w="2907" w:type="dxa"/>
            <w:noWrap/>
            <w:hideMark/>
          </w:tcPr>
          <w:p w:rsidR="00DD244A" w:rsidRPr="00DD244A" w:rsidRDefault="00DD244A" w:rsidP="00DD74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fr-BE"/>
              </w:rPr>
            </w:pPr>
          </w:p>
        </w:tc>
      </w:tr>
    </w:tbl>
    <w:p w:rsidR="00DD244A" w:rsidRDefault="00DD244A" w:rsidP="00DD244A">
      <w:pPr>
        <w:ind w:left="360"/>
        <w:jc w:val="both"/>
        <w:rPr>
          <w:sz w:val="26"/>
          <w:szCs w:val="26"/>
          <w:u w:val="single"/>
        </w:rPr>
      </w:pPr>
    </w:p>
    <w:p w:rsidR="00766551" w:rsidRDefault="00766551" w:rsidP="00DD244A">
      <w:pPr>
        <w:ind w:left="360"/>
        <w:jc w:val="both"/>
        <w:rPr>
          <w:sz w:val="26"/>
          <w:szCs w:val="26"/>
          <w:u w:val="single"/>
        </w:rPr>
      </w:pPr>
      <w:r>
        <w:rPr>
          <w:sz w:val="26"/>
          <w:szCs w:val="26"/>
          <w:u w:val="single"/>
        </w:rPr>
        <w:t>Tableau 2</w:t>
      </w:r>
      <w:r w:rsidR="003F3D23">
        <w:rPr>
          <w:sz w:val="26"/>
          <w:szCs w:val="26"/>
          <w:u w:val="single"/>
        </w:rPr>
        <w:t> : Distinction temporelle en fonction du moment de l’annonce</w:t>
      </w:r>
    </w:p>
    <w:tbl>
      <w:tblPr>
        <w:tblStyle w:val="Tableausimple1"/>
        <w:tblW w:w="0" w:type="auto"/>
        <w:tblInd w:w="421" w:type="dxa"/>
        <w:tblLook w:val="04A0" w:firstRow="1" w:lastRow="0" w:firstColumn="1" w:lastColumn="0" w:noHBand="0" w:noVBand="1"/>
      </w:tblPr>
      <w:tblGrid>
        <w:gridCol w:w="2234"/>
        <w:gridCol w:w="1593"/>
        <w:gridCol w:w="2693"/>
      </w:tblGrid>
      <w:tr w:rsidR="00D96F26" w:rsidRPr="00D96F26" w:rsidTr="006E543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D96F26" w:rsidRPr="00D96F26" w:rsidRDefault="00D96F26" w:rsidP="00D96F26">
            <w:r w:rsidRPr="00D96F26">
              <w:t xml:space="preserve">Moment de l’annonce </w:t>
            </w:r>
          </w:p>
        </w:tc>
        <w:tc>
          <w:tcPr>
            <w:tcW w:w="1593" w:type="dxa"/>
            <w:noWrap/>
            <w:hideMark/>
          </w:tcPr>
          <w:p w:rsidR="00D96F26" w:rsidRPr="00D96F26" w:rsidRDefault="00D96F26" w:rsidP="00D96F26">
            <w:pPr>
              <w:cnfStyle w:val="100000000000" w:firstRow="1" w:lastRow="0" w:firstColumn="0" w:lastColumn="0" w:oddVBand="0" w:evenVBand="0" w:oddHBand="0" w:evenHBand="0" w:firstRowFirstColumn="0" w:firstRowLastColumn="0" w:lastRowFirstColumn="0" w:lastRowLastColumn="0"/>
            </w:pPr>
            <w:r w:rsidRPr="00D96F26">
              <w:t>Nombre</w:t>
            </w:r>
          </w:p>
        </w:tc>
        <w:tc>
          <w:tcPr>
            <w:tcW w:w="2693" w:type="dxa"/>
            <w:noWrap/>
            <w:hideMark/>
          </w:tcPr>
          <w:p w:rsidR="00D96F26" w:rsidRPr="00D96F26" w:rsidRDefault="00D96F26" w:rsidP="00D96F26">
            <w:pPr>
              <w:cnfStyle w:val="100000000000" w:firstRow="1" w:lastRow="0" w:firstColumn="0" w:lastColumn="0" w:oddVBand="0" w:evenVBand="0" w:oddHBand="0" w:evenHBand="0" w:firstRowFirstColumn="0" w:firstRowLastColumn="0" w:lastRowFirstColumn="0" w:lastRowLastColumn="0"/>
            </w:pPr>
            <w:r w:rsidRPr="00D96F26">
              <w:t>Pourcentage</w:t>
            </w:r>
          </w:p>
        </w:tc>
      </w:tr>
      <w:tr w:rsidR="006E5432" w:rsidRPr="00D96F26" w:rsidTr="006E54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D96F26" w:rsidRPr="00D96F26" w:rsidRDefault="00D96F26" w:rsidP="00D96F26">
            <w:r w:rsidRPr="00D96F26">
              <w:t xml:space="preserve">Avant </w:t>
            </w:r>
            <w:r w:rsidR="00D30A8D">
              <w:t xml:space="preserve">le </w:t>
            </w:r>
            <w:r w:rsidRPr="00D96F26">
              <w:t>27 mars</w:t>
            </w:r>
          </w:p>
        </w:tc>
        <w:tc>
          <w:tcPr>
            <w:tcW w:w="1593" w:type="dxa"/>
            <w:noWrap/>
            <w:hideMark/>
          </w:tcPr>
          <w:p w:rsidR="00D96F26" w:rsidRPr="00D96F26" w:rsidRDefault="00D96F26" w:rsidP="00D96F26">
            <w:pPr>
              <w:ind w:left="360"/>
              <w:cnfStyle w:val="000000100000" w:firstRow="0" w:lastRow="0" w:firstColumn="0" w:lastColumn="0" w:oddVBand="0" w:evenVBand="0" w:oddHBand="1" w:evenHBand="0" w:firstRowFirstColumn="0" w:firstRowLastColumn="0" w:lastRowFirstColumn="0" w:lastRowLastColumn="0"/>
            </w:pPr>
            <w:r w:rsidRPr="00D96F26">
              <w:t>11</w:t>
            </w:r>
          </w:p>
        </w:tc>
        <w:tc>
          <w:tcPr>
            <w:tcW w:w="2693" w:type="dxa"/>
            <w:noWrap/>
            <w:hideMark/>
          </w:tcPr>
          <w:p w:rsidR="00D96F26" w:rsidRPr="00D96F26" w:rsidRDefault="00D96F26" w:rsidP="00D96F26">
            <w:pPr>
              <w:ind w:left="360"/>
              <w:jc w:val="center"/>
              <w:cnfStyle w:val="000000100000" w:firstRow="0" w:lastRow="0" w:firstColumn="0" w:lastColumn="0" w:oddVBand="0" w:evenVBand="0" w:oddHBand="1" w:evenHBand="0" w:firstRowFirstColumn="0" w:firstRowLastColumn="0" w:lastRowFirstColumn="0" w:lastRowLastColumn="0"/>
            </w:pPr>
            <w:r>
              <w:t>0,1037</w:t>
            </w:r>
          </w:p>
        </w:tc>
      </w:tr>
      <w:tr w:rsidR="00D96F26" w:rsidRPr="00D96F26" w:rsidTr="006E543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D96F26" w:rsidRPr="00D96F26" w:rsidRDefault="00D96F26" w:rsidP="00D96F26">
            <w:r w:rsidRPr="00D96F26">
              <w:t xml:space="preserve">Après </w:t>
            </w:r>
            <w:r w:rsidR="00D30A8D">
              <w:t xml:space="preserve">le </w:t>
            </w:r>
            <w:r w:rsidRPr="00D96F26">
              <w:t>27 mars</w:t>
            </w:r>
          </w:p>
        </w:tc>
        <w:tc>
          <w:tcPr>
            <w:tcW w:w="1593" w:type="dxa"/>
            <w:noWrap/>
            <w:hideMark/>
          </w:tcPr>
          <w:p w:rsidR="00D96F26" w:rsidRPr="00D96F26" w:rsidRDefault="00D96F26" w:rsidP="00D96F26">
            <w:pPr>
              <w:ind w:left="360"/>
              <w:cnfStyle w:val="000000000000" w:firstRow="0" w:lastRow="0" w:firstColumn="0" w:lastColumn="0" w:oddVBand="0" w:evenVBand="0" w:oddHBand="0" w:evenHBand="0" w:firstRowFirstColumn="0" w:firstRowLastColumn="0" w:lastRowFirstColumn="0" w:lastRowLastColumn="0"/>
            </w:pPr>
            <w:r w:rsidRPr="00D96F26">
              <w:t>95</w:t>
            </w:r>
          </w:p>
        </w:tc>
        <w:tc>
          <w:tcPr>
            <w:tcW w:w="2693" w:type="dxa"/>
            <w:noWrap/>
            <w:hideMark/>
          </w:tcPr>
          <w:p w:rsidR="00D96F26" w:rsidRPr="00D96F26" w:rsidRDefault="00D96F26" w:rsidP="00D96F26">
            <w:pPr>
              <w:ind w:left="360"/>
              <w:jc w:val="center"/>
              <w:cnfStyle w:val="000000000000" w:firstRow="0" w:lastRow="0" w:firstColumn="0" w:lastColumn="0" w:oddVBand="0" w:evenVBand="0" w:oddHBand="0" w:evenHBand="0" w:firstRowFirstColumn="0" w:firstRowLastColumn="0" w:lastRowFirstColumn="0" w:lastRowLastColumn="0"/>
            </w:pPr>
            <w:r>
              <w:t>0,8962</w:t>
            </w:r>
          </w:p>
        </w:tc>
      </w:tr>
      <w:tr w:rsidR="006E5432" w:rsidRPr="00D96F26" w:rsidTr="006E54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D96F26" w:rsidRPr="00D96F26" w:rsidRDefault="00D96F26" w:rsidP="00D96F26">
            <w:r w:rsidRPr="00D96F26">
              <w:t>Total</w:t>
            </w:r>
          </w:p>
        </w:tc>
        <w:tc>
          <w:tcPr>
            <w:tcW w:w="1593" w:type="dxa"/>
            <w:noWrap/>
            <w:hideMark/>
          </w:tcPr>
          <w:p w:rsidR="00D96F26" w:rsidRPr="00D96F26" w:rsidRDefault="00D96F26" w:rsidP="00D96F26">
            <w:pPr>
              <w:ind w:left="360"/>
              <w:cnfStyle w:val="000000100000" w:firstRow="0" w:lastRow="0" w:firstColumn="0" w:lastColumn="0" w:oddVBand="0" w:evenVBand="0" w:oddHBand="1" w:evenHBand="0" w:firstRowFirstColumn="0" w:firstRowLastColumn="0" w:lastRowFirstColumn="0" w:lastRowLastColumn="0"/>
            </w:pPr>
            <w:r w:rsidRPr="00D96F26">
              <w:t>106</w:t>
            </w:r>
          </w:p>
        </w:tc>
        <w:tc>
          <w:tcPr>
            <w:tcW w:w="2693" w:type="dxa"/>
            <w:noWrap/>
            <w:hideMark/>
          </w:tcPr>
          <w:p w:rsidR="00D96F26" w:rsidRPr="00D96F26" w:rsidRDefault="00D96F26" w:rsidP="00D96F26">
            <w:pPr>
              <w:ind w:left="360"/>
              <w:jc w:val="center"/>
              <w:cnfStyle w:val="000000100000" w:firstRow="0" w:lastRow="0" w:firstColumn="0" w:lastColumn="0" w:oddVBand="0" w:evenVBand="0" w:oddHBand="1" w:evenHBand="0" w:firstRowFirstColumn="0" w:firstRowLastColumn="0" w:lastRowFirstColumn="0" w:lastRowLastColumn="0"/>
            </w:pPr>
            <w:r w:rsidRPr="00D96F26">
              <w:t>1</w:t>
            </w:r>
          </w:p>
        </w:tc>
      </w:tr>
    </w:tbl>
    <w:p w:rsidR="00766551" w:rsidRDefault="00766551" w:rsidP="00DD244A">
      <w:pPr>
        <w:ind w:left="360"/>
        <w:jc w:val="both"/>
        <w:rPr>
          <w:sz w:val="26"/>
          <w:szCs w:val="26"/>
          <w:u w:val="single"/>
        </w:rPr>
      </w:pPr>
    </w:p>
    <w:p w:rsidR="00D96F26" w:rsidRDefault="00D96F26" w:rsidP="00DD244A">
      <w:pPr>
        <w:ind w:left="360"/>
        <w:jc w:val="both"/>
        <w:rPr>
          <w:sz w:val="26"/>
          <w:szCs w:val="26"/>
          <w:u w:val="single"/>
        </w:rPr>
      </w:pPr>
      <w:r>
        <w:rPr>
          <w:sz w:val="26"/>
          <w:szCs w:val="26"/>
          <w:u w:val="single"/>
        </w:rPr>
        <w:t>Tableau 3</w:t>
      </w:r>
      <w:r w:rsidR="008F2335">
        <w:rPr>
          <w:sz w:val="26"/>
          <w:szCs w:val="26"/>
          <w:u w:val="single"/>
        </w:rPr>
        <w:t> : Type de décisions après le 27 mars</w:t>
      </w:r>
    </w:p>
    <w:tbl>
      <w:tblPr>
        <w:tblStyle w:val="Tableausimple1"/>
        <w:tblW w:w="0" w:type="auto"/>
        <w:tblInd w:w="421" w:type="dxa"/>
        <w:tblLook w:val="04A0" w:firstRow="1" w:lastRow="0" w:firstColumn="1" w:lastColumn="0" w:noHBand="0" w:noVBand="1"/>
      </w:tblPr>
      <w:tblGrid>
        <w:gridCol w:w="2080"/>
        <w:gridCol w:w="1747"/>
        <w:gridCol w:w="2693"/>
      </w:tblGrid>
      <w:tr w:rsidR="003F3D23" w:rsidRPr="003F3D23" w:rsidTr="006E543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3F3D23" w:rsidRPr="00FB017A" w:rsidRDefault="00FB017A" w:rsidP="001925FD">
            <w:r w:rsidRPr="00FB017A">
              <w:t>A</w:t>
            </w:r>
            <w:r w:rsidR="003F3D23" w:rsidRPr="00FB017A">
              <w:t xml:space="preserve">près </w:t>
            </w:r>
            <w:r w:rsidR="00D30A8D">
              <w:t xml:space="preserve">le </w:t>
            </w:r>
            <w:r w:rsidR="003F3D23" w:rsidRPr="00FB017A">
              <w:t>27 mars</w:t>
            </w:r>
          </w:p>
        </w:tc>
        <w:tc>
          <w:tcPr>
            <w:tcW w:w="1747" w:type="dxa"/>
            <w:noWrap/>
            <w:hideMark/>
          </w:tcPr>
          <w:p w:rsidR="003F3D23" w:rsidRPr="00FB017A" w:rsidRDefault="00FB017A" w:rsidP="003B71BC">
            <w:pPr>
              <w:jc w:val="center"/>
              <w:cnfStyle w:val="100000000000" w:firstRow="1" w:lastRow="0" w:firstColumn="0" w:lastColumn="0" w:oddVBand="0" w:evenVBand="0" w:oddHBand="0" w:evenHBand="0" w:firstRowFirstColumn="0" w:firstRowLastColumn="0" w:lastRowFirstColumn="0" w:lastRowLastColumn="0"/>
            </w:pPr>
            <w:r w:rsidRPr="00FB017A">
              <w:t>N</w:t>
            </w:r>
            <w:r w:rsidR="003F3D23" w:rsidRPr="00FB017A">
              <w:t>ombre</w:t>
            </w:r>
          </w:p>
        </w:tc>
        <w:tc>
          <w:tcPr>
            <w:tcW w:w="2693" w:type="dxa"/>
            <w:noWrap/>
            <w:hideMark/>
          </w:tcPr>
          <w:p w:rsidR="003F3D23" w:rsidRPr="00FB017A" w:rsidRDefault="00FB017A" w:rsidP="003B71BC">
            <w:pPr>
              <w:ind w:left="360"/>
              <w:jc w:val="center"/>
              <w:cnfStyle w:val="100000000000" w:firstRow="1" w:lastRow="0" w:firstColumn="0" w:lastColumn="0" w:oddVBand="0" w:evenVBand="0" w:oddHBand="0" w:evenHBand="0" w:firstRowFirstColumn="0" w:firstRowLastColumn="0" w:lastRowFirstColumn="0" w:lastRowLastColumn="0"/>
            </w:pPr>
            <w:r w:rsidRPr="00FB017A">
              <w:t>P</w:t>
            </w:r>
            <w:r w:rsidR="003F3D23" w:rsidRPr="00FB017A">
              <w:t>ourcentage</w:t>
            </w:r>
          </w:p>
        </w:tc>
      </w:tr>
      <w:tr w:rsidR="006E5432" w:rsidRPr="003F3D23" w:rsidTr="006E54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3F3D23" w:rsidRPr="00FB017A" w:rsidRDefault="00FB017A" w:rsidP="001925FD">
            <w:r>
              <w:t>A</w:t>
            </w:r>
            <w:r w:rsidR="003F3D23" w:rsidRPr="00FB017A">
              <w:t>nnulé</w:t>
            </w:r>
            <w:r>
              <w:t>s</w:t>
            </w:r>
          </w:p>
        </w:tc>
        <w:tc>
          <w:tcPr>
            <w:tcW w:w="1747" w:type="dxa"/>
            <w:noWrap/>
            <w:hideMark/>
          </w:tcPr>
          <w:p w:rsidR="003F3D23" w:rsidRPr="00FB017A" w:rsidRDefault="003F3D23" w:rsidP="003B71BC">
            <w:pPr>
              <w:ind w:left="360"/>
              <w:jc w:val="center"/>
              <w:cnfStyle w:val="000000100000" w:firstRow="0" w:lastRow="0" w:firstColumn="0" w:lastColumn="0" w:oddVBand="0" w:evenVBand="0" w:oddHBand="1" w:evenHBand="0" w:firstRowFirstColumn="0" w:firstRowLastColumn="0" w:lastRowFirstColumn="0" w:lastRowLastColumn="0"/>
            </w:pPr>
            <w:r w:rsidRPr="00FB017A">
              <w:t>49</w:t>
            </w:r>
          </w:p>
        </w:tc>
        <w:tc>
          <w:tcPr>
            <w:tcW w:w="2693" w:type="dxa"/>
            <w:noWrap/>
            <w:hideMark/>
          </w:tcPr>
          <w:p w:rsidR="003F3D23" w:rsidRPr="00FB017A" w:rsidRDefault="00FB017A" w:rsidP="003B71BC">
            <w:pPr>
              <w:ind w:left="360"/>
              <w:jc w:val="center"/>
              <w:cnfStyle w:val="000000100000" w:firstRow="0" w:lastRow="0" w:firstColumn="0" w:lastColumn="0" w:oddVBand="0" w:evenVBand="0" w:oddHBand="1" w:evenHBand="0" w:firstRowFirstColumn="0" w:firstRowLastColumn="0" w:lastRowFirstColumn="0" w:lastRowLastColumn="0"/>
            </w:pPr>
            <w:r>
              <w:t>0,516</w:t>
            </w:r>
          </w:p>
        </w:tc>
      </w:tr>
      <w:tr w:rsidR="003F3D23" w:rsidRPr="003F3D23" w:rsidTr="006E5432">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3F3D23" w:rsidRPr="00FB017A" w:rsidRDefault="006E5432" w:rsidP="001925FD">
            <w:r>
              <w:t>C</w:t>
            </w:r>
            <w:r w:rsidR="00FB017A">
              <w:t>onfirmés</w:t>
            </w:r>
          </w:p>
        </w:tc>
        <w:tc>
          <w:tcPr>
            <w:tcW w:w="1747" w:type="dxa"/>
            <w:noWrap/>
            <w:hideMark/>
          </w:tcPr>
          <w:p w:rsidR="003F3D23" w:rsidRPr="00FB017A" w:rsidRDefault="003F3D23" w:rsidP="003B71BC">
            <w:pPr>
              <w:ind w:left="360"/>
              <w:jc w:val="center"/>
              <w:cnfStyle w:val="000000000000" w:firstRow="0" w:lastRow="0" w:firstColumn="0" w:lastColumn="0" w:oddVBand="0" w:evenVBand="0" w:oddHBand="0" w:evenHBand="0" w:firstRowFirstColumn="0" w:firstRowLastColumn="0" w:lastRowFirstColumn="0" w:lastRowLastColumn="0"/>
            </w:pPr>
            <w:r w:rsidRPr="00FB017A">
              <w:t>13</w:t>
            </w:r>
          </w:p>
        </w:tc>
        <w:tc>
          <w:tcPr>
            <w:tcW w:w="2693" w:type="dxa"/>
            <w:noWrap/>
            <w:hideMark/>
          </w:tcPr>
          <w:p w:rsidR="003F3D23" w:rsidRPr="00FB017A" w:rsidRDefault="00FB017A" w:rsidP="003B71BC">
            <w:pPr>
              <w:ind w:left="360"/>
              <w:jc w:val="center"/>
              <w:cnfStyle w:val="000000000000" w:firstRow="0" w:lastRow="0" w:firstColumn="0" w:lastColumn="0" w:oddVBand="0" w:evenVBand="0" w:oddHBand="0" w:evenHBand="0" w:firstRowFirstColumn="0" w:firstRowLastColumn="0" w:lastRowFirstColumn="0" w:lastRowLastColumn="0"/>
            </w:pPr>
            <w:r>
              <w:t>0,137</w:t>
            </w:r>
          </w:p>
        </w:tc>
      </w:tr>
      <w:tr w:rsidR="006E5432" w:rsidRPr="003F3D23" w:rsidTr="006E54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3F3D23" w:rsidRPr="00FB017A" w:rsidRDefault="00FB017A" w:rsidP="001925FD">
            <w:r w:rsidRPr="00FB017A">
              <w:t>R</w:t>
            </w:r>
            <w:r w:rsidR="003F3D23" w:rsidRPr="00FB017A">
              <w:t>éduit</w:t>
            </w:r>
            <w:r>
              <w:t>s</w:t>
            </w:r>
          </w:p>
        </w:tc>
        <w:tc>
          <w:tcPr>
            <w:tcW w:w="1747" w:type="dxa"/>
            <w:noWrap/>
            <w:hideMark/>
          </w:tcPr>
          <w:p w:rsidR="003F3D23" w:rsidRPr="00FB017A" w:rsidRDefault="003F3D23" w:rsidP="003B71BC">
            <w:pPr>
              <w:ind w:left="360"/>
              <w:jc w:val="center"/>
              <w:cnfStyle w:val="000000100000" w:firstRow="0" w:lastRow="0" w:firstColumn="0" w:lastColumn="0" w:oddVBand="0" w:evenVBand="0" w:oddHBand="1" w:evenHBand="0" w:firstRowFirstColumn="0" w:firstRowLastColumn="0" w:lastRowFirstColumn="0" w:lastRowLastColumn="0"/>
            </w:pPr>
            <w:r w:rsidRPr="00FB017A">
              <w:t>33</w:t>
            </w:r>
          </w:p>
        </w:tc>
        <w:tc>
          <w:tcPr>
            <w:tcW w:w="2693" w:type="dxa"/>
            <w:noWrap/>
            <w:hideMark/>
          </w:tcPr>
          <w:p w:rsidR="003F3D23" w:rsidRPr="00FB017A" w:rsidRDefault="00FB017A" w:rsidP="003B71BC">
            <w:pPr>
              <w:ind w:left="360"/>
              <w:jc w:val="center"/>
              <w:cnfStyle w:val="000000100000" w:firstRow="0" w:lastRow="0" w:firstColumn="0" w:lastColumn="0" w:oddVBand="0" w:evenVBand="0" w:oddHBand="1" w:evenHBand="0" w:firstRowFirstColumn="0" w:firstRowLastColumn="0" w:lastRowFirstColumn="0" w:lastRowLastColumn="0"/>
            </w:pPr>
            <w:r>
              <w:t>0,347</w:t>
            </w:r>
          </w:p>
        </w:tc>
      </w:tr>
      <w:tr w:rsidR="003F3D23" w:rsidRPr="003F3D23" w:rsidTr="006E5432">
        <w:trPr>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3F3D23" w:rsidRPr="00FB017A" w:rsidRDefault="00FB017A" w:rsidP="001925FD">
            <w:r>
              <w:t>C</w:t>
            </w:r>
            <w:r w:rsidR="003F3D23" w:rsidRPr="00FB017A">
              <w:t>onfirmé</w:t>
            </w:r>
            <w:r>
              <w:t>s</w:t>
            </w:r>
            <w:r w:rsidR="003F3D23" w:rsidRPr="00FB017A">
              <w:t xml:space="preserve"> et réduit</w:t>
            </w:r>
            <w:r>
              <w:t>s</w:t>
            </w:r>
          </w:p>
        </w:tc>
        <w:tc>
          <w:tcPr>
            <w:tcW w:w="1747" w:type="dxa"/>
            <w:noWrap/>
            <w:hideMark/>
          </w:tcPr>
          <w:p w:rsidR="003F3D23" w:rsidRPr="00FB017A" w:rsidRDefault="003F3D23" w:rsidP="003B71BC">
            <w:pPr>
              <w:ind w:left="360"/>
              <w:jc w:val="center"/>
              <w:cnfStyle w:val="000000000000" w:firstRow="0" w:lastRow="0" w:firstColumn="0" w:lastColumn="0" w:oddVBand="0" w:evenVBand="0" w:oddHBand="0" w:evenHBand="0" w:firstRowFirstColumn="0" w:firstRowLastColumn="0" w:lastRowFirstColumn="0" w:lastRowLastColumn="0"/>
            </w:pPr>
            <w:r w:rsidRPr="00FB017A">
              <w:t>46</w:t>
            </w:r>
          </w:p>
        </w:tc>
        <w:tc>
          <w:tcPr>
            <w:tcW w:w="2693" w:type="dxa"/>
            <w:noWrap/>
            <w:hideMark/>
          </w:tcPr>
          <w:p w:rsidR="003F3D23" w:rsidRPr="00FB017A" w:rsidRDefault="00FB017A" w:rsidP="003B71BC">
            <w:pPr>
              <w:ind w:left="360"/>
              <w:jc w:val="center"/>
              <w:cnfStyle w:val="000000000000" w:firstRow="0" w:lastRow="0" w:firstColumn="0" w:lastColumn="0" w:oddVBand="0" w:evenVBand="0" w:oddHBand="0" w:evenHBand="0" w:firstRowFirstColumn="0" w:firstRowLastColumn="0" w:lastRowFirstColumn="0" w:lastRowLastColumn="0"/>
            </w:pPr>
            <w:r>
              <w:t>0,484</w:t>
            </w:r>
          </w:p>
        </w:tc>
      </w:tr>
      <w:tr w:rsidR="006E5432" w:rsidRPr="003F3D23" w:rsidTr="006E54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0" w:type="dxa"/>
            <w:noWrap/>
            <w:hideMark/>
          </w:tcPr>
          <w:p w:rsidR="003F3D23" w:rsidRPr="00FB017A" w:rsidRDefault="003F3D23" w:rsidP="001925FD">
            <w:r w:rsidRPr="00FB017A">
              <w:t>Total général</w:t>
            </w:r>
          </w:p>
        </w:tc>
        <w:tc>
          <w:tcPr>
            <w:tcW w:w="1747" w:type="dxa"/>
            <w:noWrap/>
            <w:hideMark/>
          </w:tcPr>
          <w:p w:rsidR="003F3D23" w:rsidRPr="00FB017A" w:rsidRDefault="003F3D23" w:rsidP="003B71BC">
            <w:pPr>
              <w:ind w:left="360"/>
              <w:jc w:val="center"/>
              <w:cnfStyle w:val="000000100000" w:firstRow="0" w:lastRow="0" w:firstColumn="0" w:lastColumn="0" w:oddVBand="0" w:evenVBand="0" w:oddHBand="1" w:evenHBand="0" w:firstRowFirstColumn="0" w:firstRowLastColumn="0" w:lastRowFirstColumn="0" w:lastRowLastColumn="0"/>
            </w:pPr>
            <w:r w:rsidRPr="00FB017A">
              <w:t>95</w:t>
            </w:r>
          </w:p>
        </w:tc>
        <w:tc>
          <w:tcPr>
            <w:tcW w:w="2693" w:type="dxa"/>
            <w:noWrap/>
            <w:hideMark/>
          </w:tcPr>
          <w:p w:rsidR="003F3D23" w:rsidRPr="00FB017A" w:rsidRDefault="003F3D23" w:rsidP="003B71BC">
            <w:pPr>
              <w:ind w:left="360"/>
              <w:jc w:val="center"/>
              <w:cnfStyle w:val="000000100000" w:firstRow="0" w:lastRow="0" w:firstColumn="0" w:lastColumn="0" w:oddVBand="0" w:evenVBand="0" w:oddHBand="1" w:evenHBand="0" w:firstRowFirstColumn="0" w:firstRowLastColumn="0" w:lastRowFirstColumn="0" w:lastRowLastColumn="0"/>
            </w:pPr>
          </w:p>
        </w:tc>
      </w:tr>
    </w:tbl>
    <w:p w:rsidR="00D96F26" w:rsidRPr="00DD244A" w:rsidRDefault="00D96F26" w:rsidP="00DD244A">
      <w:pPr>
        <w:ind w:left="360"/>
        <w:jc w:val="both"/>
        <w:rPr>
          <w:sz w:val="26"/>
          <w:szCs w:val="26"/>
          <w:u w:val="single"/>
        </w:rPr>
      </w:pPr>
    </w:p>
    <w:p w:rsidR="00D64553" w:rsidRDefault="00021D57" w:rsidP="002F3780">
      <w:pPr>
        <w:pStyle w:val="Paragraphedeliste"/>
        <w:numPr>
          <w:ilvl w:val="0"/>
          <w:numId w:val="1"/>
        </w:numPr>
        <w:jc w:val="both"/>
        <w:rPr>
          <w:sz w:val="28"/>
          <w:szCs w:val="28"/>
          <w:u w:val="single"/>
        </w:rPr>
      </w:pPr>
      <w:r>
        <w:rPr>
          <w:sz w:val="28"/>
          <w:szCs w:val="28"/>
          <w:u w:val="single"/>
        </w:rPr>
        <w:t>Statistiques descriptives, r</w:t>
      </w:r>
      <w:r w:rsidR="00D64553" w:rsidRPr="00D64553">
        <w:rPr>
          <w:sz w:val="28"/>
          <w:szCs w:val="28"/>
          <w:u w:val="single"/>
        </w:rPr>
        <w:t>ésultats et analyses</w:t>
      </w:r>
    </w:p>
    <w:p w:rsidR="00D56CE6" w:rsidRPr="007D0255" w:rsidRDefault="00D56CE6" w:rsidP="00D56CE6">
      <w:pPr>
        <w:pStyle w:val="Paragraphedeliste"/>
        <w:numPr>
          <w:ilvl w:val="1"/>
          <w:numId w:val="1"/>
        </w:numPr>
        <w:jc w:val="both"/>
        <w:rPr>
          <w:sz w:val="26"/>
          <w:szCs w:val="26"/>
          <w:u w:val="single"/>
        </w:rPr>
      </w:pPr>
      <w:r w:rsidRPr="007D0255">
        <w:rPr>
          <w:sz w:val="26"/>
          <w:szCs w:val="26"/>
          <w:u w:val="single"/>
        </w:rPr>
        <w:t>Réactions boursières sans distinction temporelle</w:t>
      </w:r>
    </w:p>
    <w:p w:rsidR="00313790" w:rsidRPr="00313790" w:rsidRDefault="00464101" w:rsidP="00313790">
      <w:pPr>
        <w:ind w:left="360"/>
        <w:jc w:val="both"/>
        <w:rPr>
          <w:sz w:val="26"/>
          <w:szCs w:val="26"/>
          <w:u w:val="single"/>
        </w:rPr>
      </w:pPr>
      <w:r>
        <w:rPr>
          <w:sz w:val="26"/>
          <w:szCs w:val="26"/>
          <w:u w:val="single"/>
        </w:rPr>
        <w:t>Tableau 4 : M</w:t>
      </w:r>
      <w:r w:rsidR="00313790" w:rsidRPr="00313790">
        <w:rPr>
          <w:sz w:val="26"/>
          <w:szCs w:val="26"/>
          <w:u w:val="single"/>
        </w:rPr>
        <w:t>oyenne des réactions boursières aux annonces relatives à la politique de distribution de dividendes</w:t>
      </w:r>
      <w:r w:rsidR="002E5E91">
        <w:rPr>
          <w:sz w:val="26"/>
          <w:szCs w:val="26"/>
          <w:u w:val="single"/>
        </w:rPr>
        <w:t xml:space="preserve"> (toutes les annonces, sans et avec correction par le marché)</w:t>
      </w:r>
      <w:r w:rsidR="00313790">
        <w:rPr>
          <w:sz w:val="26"/>
          <w:szCs w:val="26"/>
          <w:u w:val="single"/>
        </w:rPr>
        <w:t xml:space="preserve"> </w:t>
      </w:r>
    </w:p>
    <w:tbl>
      <w:tblPr>
        <w:tblStyle w:val="Tableausimple1"/>
        <w:tblW w:w="8930" w:type="dxa"/>
        <w:tblInd w:w="421" w:type="dxa"/>
        <w:tblLook w:val="04A0" w:firstRow="1" w:lastRow="0" w:firstColumn="1" w:lastColumn="0" w:noHBand="0" w:noVBand="1"/>
      </w:tblPr>
      <w:tblGrid>
        <w:gridCol w:w="1149"/>
        <w:gridCol w:w="1622"/>
        <w:gridCol w:w="1694"/>
        <w:gridCol w:w="2356"/>
        <w:gridCol w:w="2109"/>
      </w:tblGrid>
      <w:tr w:rsidR="00313790" w:rsidRPr="009825DF" w:rsidTr="000D06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noWrap/>
            <w:hideMark/>
          </w:tcPr>
          <w:p w:rsidR="009825DF" w:rsidRPr="00313790" w:rsidRDefault="00313790" w:rsidP="00313790">
            <w:pPr>
              <w:jc w:val="both"/>
            </w:pPr>
            <w:r>
              <w:t>M</w:t>
            </w:r>
            <w:r w:rsidR="009825DF" w:rsidRPr="00313790">
              <w:t>oyenne</w:t>
            </w:r>
          </w:p>
        </w:tc>
        <w:tc>
          <w:tcPr>
            <w:tcW w:w="0" w:type="auto"/>
            <w:noWrap/>
            <w:hideMark/>
          </w:tcPr>
          <w:p w:rsidR="009825DF" w:rsidRPr="003E4B53" w:rsidRDefault="009825DF" w:rsidP="003B71BC">
            <w:pPr>
              <w:jc w:val="center"/>
              <w:cnfStyle w:val="100000000000" w:firstRow="1" w:lastRow="0" w:firstColumn="0" w:lastColumn="0" w:oddVBand="0" w:evenVBand="0" w:oddHBand="0" w:evenHBand="0" w:firstRowFirstColumn="0" w:firstRowLastColumn="0" w:lastRowFirstColumn="0" w:lastRowLastColumn="0"/>
            </w:pPr>
            <w:r w:rsidRPr="003E4B53">
              <w:t>(t-1;t0)</w:t>
            </w:r>
          </w:p>
        </w:tc>
        <w:tc>
          <w:tcPr>
            <w:tcW w:w="0" w:type="auto"/>
            <w:noWrap/>
            <w:hideMark/>
          </w:tcPr>
          <w:p w:rsidR="009825DF" w:rsidRPr="00313790" w:rsidRDefault="009825DF" w:rsidP="003B71BC">
            <w:pPr>
              <w:pStyle w:val="Paragraphedeliste"/>
              <w:jc w:val="center"/>
              <w:cnfStyle w:val="100000000000" w:firstRow="1" w:lastRow="0" w:firstColumn="0" w:lastColumn="0" w:oddVBand="0" w:evenVBand="0" w:oddHBand="0" w:evenHBand="0" w:firstRowFirstColumn="0" w:firstRowLastColumn="0" w:lastRowFirstColumn="0" w:lastRowLastColumn="0"/>
            </w:pPr>
            <w:r w:rsidRPr="00313790">
              <w:t>(t-2;t+2)</w:t>
            </w:r>
          </w:p>
        </w:tc>
        <w:tc>
          <w:tcPr>
            <w:tcW w:w="0" w:type="auto"/>
            <w:noWrap/>
            <w:hideMark/>
          </w:tcPr>
          <w:p w:rsidR="009825DF" w:rsidRPr="00313790" w:rsidRDefault="009825DF" w:rsidP="003B71BC">
            <w:pPr>
              <w:pStyle w:val="Paragraphedeliste"/>
              <w:jc w:val="center"/>
              <w:cnfStyle w:val="100000000000" w:firstRow="1" w:lastRow="0" w:firstColumn="0" w:lastColumn="0" w:oddVBand="0" w:evenVBand="0" w:oddHBand="0" w:evenHBand="0" w:firstRowFirstColumn="0" w:firstRowLastColumn="0" w:lastRowFirstColumn="0" w:lastRowLastColumn="0"/>
            </w:pPr>
            <w:r w:rsidRPr="00313790">
              <w:t>(t-1;t0, SBF120)</w:t>
            </w:r>
          </w:p>
        </w:tc>
        <w:tc>
          <w:tcPr>
            <w:tcW w:w="2109" w:type="dxa"/>
            <w:noWrap/>
            <w:hideMark/>
          </w:tcPr>
          <w:p w:rsidR="009825DF" w:rsidRPr="00313790" w:rsidRDefault="009825DF" w:rsidP="003B71BC">
            <w:pPr>
              <w:pStyle w:val="Paragraphedeliste"/>
              <w:jc w:val="center"/>
              <w:cnfStyle w:val="100000000000" w:firstRow="1" w:lastRow="0" w:firstColumn="0" w:lastColumn="0" w:oddVBand="0" w:evenVBand="0" w:oddHBand="0" w:evenHBand="0" w:firstRowFirstColumn="0" w:firstRowLastColumn="0" w:lastRowFirstColumn="0" w:lastRowLastColumn="0"/>
            </w:pPr>
            <w:r w:rsidRPr="00313790">
              <w:t>(t-2;t+2, SBF120)</w:t>
            </w:r>
          </w:p>
        </w:tc>
      </w:tr>
      <w:tr w:rsidR="00313790" w:rsidRPr="009825DF" w:rsidTr="000D0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noWrap/>
            <w:hideMark/>
          </w:tcPr>
          <w:p w:rsidR="009825DF" w:rsidRPr="00313790" w:rsidRDefault="00313790" w:rsidP="00313790">
            <w:pPr>
              <w:jc w:val="both"/>
            </w:pPr>
            <w:r>
              <w:t>A</w:t>
            </w:r>
            <w:r w:rsidR="009825DF" w:rsidRPr="00313790">
              <w:t>nnulés</w:t>
            </w:r>
          </w:p>
        </w:tc>
        <w:tc>
          <w:tcPr>
            <w:tcW w:w="0" w:type="auto"/>
            <w:noWrap/>
            <w:hideMark/>
          </w:tcPr>
          <w:p w:rsidR="009825DF" w:rsidRPr="00313790" w:rsidRDefault="00313790"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-0,0111</w:t>
            </w:r>
          </w:p>
        </w:tc>
        <w:tc>
          <w:tcPr>
            <w:tcW w:w="0" w:type="auto"/>
            <w:noWrap/>
            <w:hideMark/>
          </w:tcPr>
          <w:p w:rsidR="009825DF" w:rsidRPr="00313790" w:rsidRDefault="00313790"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-0,0149</w:t>
            </w:r>
          </w:p>
        </w:tc>
        <w:tc>
          <w:tcPr>
            <w:tcW w:w="0" w:type="auto"/>
            <w:noWrap/>
            <w:hideMark/>
          </w:tcPr>
          <w:p w:rsidR="009825DF" w:rsidRPr="00313790" w:rsidRDefault="0025638C"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-0,0112</w:t>
            </w:r>
          </w:p>
        </w:tc>
        <w:tc>
          <w:tcPr>
            <w:tcW w:w="2109" w:type="dxa"/>
            <w:noWrap/>
            <w:hideMark/>
          </w:tcPr>
          <w:p w:rsidR="009825DF" w:rsidRPr="00313790" w:rsidRDefault="00313790"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-0,031</w:t>
            </w:r>
          </w:p>
        </w:tc>
      </w:tr>
      <w:tr w:rsidR="00313790" w:rsidRPr="009825DF" w:rsidTr="000D06C7">
        <w:trPr>
          <w:trHeight w:val="300"/>
        </w:trPr>
        <w:tc>
          <w:tcPr>
            <w:cnfStyle w:val="001000000000" w:firstRow="0" w:lastRow="0" w:firstColumn="1" w:lastColumn="0" w:oddVBand="0" w:evenVBand="0" w:oddHBand="0" w:evenHBand="0" w:firstRowFirstColumn="0" w:firstRowLastColumn="0" w:lastRowFirstColumn="0" w:lastRowLastColumn="0"/>
            <w:tcW w:w="1149" w:type="dxa"/>
            <w:noWrap/>
            <w:hideMark/>
          </w:tcPr>
          <w:p w:rsidR="009825DF" w:rsidRPr="00313790" w:rsidRDefault="00313790" w:rsidP="00313790">
            <w:pPr>
              <w:jc w:val="both"/>
            </w:pPr>
            <w:r>
              <w:t>R</w:t>
            </w:r>
            <w:r w:rsidR="009825DF" w:rsidRPr="00313790">
              <w:t>éduits</w:t>
            </w:r>
          </w:p>
        </w:tc>
        <w:tc>
          <w:tcPr>
            <w:tcW w:w="0" w:type="auto"/>
            <w:noWrap/>
            <w:hideMark/>
          </w:tcPr>
          <w:p w:rsidR="009825DF" w:rsidRPr="00313790" w:rsidRDefault="00313790" w:rsidP="003B71BC">
            <w:pPr>
              <w:pStyle w:val="Paragraphedeliste"/>
              <w:jc w:val="center"/>
              <w:cnfStyle w:val="000000000000" w:firstRow="0" w:lastRow="0" w:firstColumn="0" w:lastColumn="0" w:oddVBand="0" w:evenVBand="0" w:oddHBand="0" w:evenHBand="0" w:firstRowFirstColumn="0" w:firstRowLastColumn="0" w:lastRowFirstColumn="0" w:lastRowLastColumn="0"/>
            </w:pPr>
            <w:r>
              <w:t>0,0005</w:t>
            </w:r>
          </w:p>
        </w:tc>
        <w:tc>
          <w:tcPr>
            <w:tcW w:w="0" w:type="auto"/>
            <w:noWrap/>
            <w:hideMark/>
          </w:tcPr>
          <w:p w:rsidR="009825DF" w:rsidRPr="00313790" w:rsidRDefault="00313790" w:rsidP="003B71BC">
            <w:pPr>
              <w:pStyle w:val="Paragraphedeliste"/>
              <w:jc w:val="center"/>
              <w:cnfStyle w:val="000000000000" w:firstRow="0" w:lastRow="0" w:firstColumn="0" w:lastColumn="0" w:oddVBand="0" w:evenVBand="0" w:oddHBand="0" w:evenHBand="0" w:firstRowFirstColumn="0" w:firstRowLastColumn="0" w:lastRowFirstColumn="0" w:lastRowLastColumn="0"/>
            </w:pPr>
            <w:r>
              <w:t>0,01615</w:t>
            </w:r>
          </w:p>
        </w:tc>
        <w:tc>
          <w:tcPr>
            <w:tcW w:w="0" w:type="auto"/>
            <w:noWrap/>
            <w:hideMark/>
          </w:tcPr>
          <w:p w:rsidR="009825DF" w:rsidRPr="00313790" w:rsidRDefault="00313790" w:rsidP="003B71BC">
            <w:pPr>
              <w:pStyle w:val="Paragraphedeliste"/>
              <w:jc w:val="center"/>
              <w:cnfStyle w:val="000000000000" w:firstRow="0" w:lastRow="0" w:firstColumn="0" w:lastColumn="0" w:oddVBand="0" w:evenVBand="0" w:oddHBand="0" w:evenHBand="0" w:firstRowFirstColumn="0" w:firstRowLastColumn="0" w:lastRowFirstColumn="0" w:lastRowLastColumn="0"/>
            </w:pPr>
            <w:r>
              <w:t>-0,0002</w:t>
            </w:r>
          </w:p>
        </w:tc>
        <w:tc>
          <w:tcPr>
            <w:tcW w:w="2109" w:type="dxa"/>
            <w:noWrap/>
            <w:hideMark/>
          </w:tcPr>
          <w:p w:rsidR="009825DF" w:rsidRPr="00313790" w:rsidRDefault="00313790" w:rsidP="003B71BC">
            <w:pPr>
              <w:pStyle w:val="Paragraphedeliste"/>
              <w:jc w:val="center"/>
              <w:cnfStyle w:val="000000000000" w:firstRow="0" w:lastRow="0" w:firstColumn="0" w:lastColumn="0" w:oddVBand="0" w:evenVBand="0" w:oddHBand="0" w:evenHBand="0" w:firstRowFirstColumn="0" w:firstRowLastColumn="0" w:lastRowFirstColumn="0" w:lastRowLastColumn="0"/>
            </w:pPr>
            <w:r>
              <w:t>0,016</w:t>
            </w:r>
          </w:p>
        </w:tc>
      </w:tr>
      <w:tr w:rsidR="00313790" w:rsidRPr="009825DF" w:rsidTr="000D0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noWrap/>
            <w:hideMark/>
          </w:tcPr>
          <w:p w:rsidR="009825DF" w:rsidRPr="00313790" w:rsidRDefault="00313790" w:rsidP="00313790">
            <w:pPr>
              <w:jc w:val="both"/>
            </w:pPr>
            <w:r>
              <w:t>C</w:t>
            </w:r>
            <w:r w:rsidR="009825DF" w:rsidRPr="00313790">
              <w:t>onfirmés</w:t>
            </w:r>
          </w:p>
        </w:tc>
        <w:tc>
          <w:tcPr>
            <w:tcW w:w="0" w:type="auto"/>
            <w:noWrap/>
            <w:hideMark/>
          </w:tcPr>
          <w:p w:rsidR="009825DF" w:rsidRPr="00313790" w:rsidRDefault="00313790"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-0,0069</w:t>
            </w:r>
          </w:p>
        </w:tc>
        <w:tc>
          <w:tcPr>
            <w:tcW w:w="0" w:type="auto"/>
            <w:noWrap/>
            <w:hideMark/>
          </w:tcPr>
          <w:p w:rsidR="009825DF" w:rsidRPr="00313790" w:rsidRDefault="00313790"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-0,0191</w:t>
            </w:r>
          </w:p>
        </w:tc>
        <w:tc>
          <w:tcPr>
            <w:tcW w:w="0" w:type="auto"/>
            <w:noWrap/>
            <w:hideMark/>
          </w:tcPr>
          <w:p w:rsidR="009825DF" w:rsidRPr="00313790" w:rsidRDefault="00313790"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-0,0008</w:t>
            </w:r>
          </w:p>
        </w:tc>
        <w:tc>
          <w:tcPr>
            <w:tcW w:w="2109" w:type="dxa"/>
            <w:noWrap/>
            <w:hideMark/>
          </w:tcPr>
          <w:p w:rsidR="009825DF" w:rsidRPr="00313790" w:rsidRDefault="00313790" w:rsidP="003B71BC">
            <w:pPr>
              <w:pStyle w:val="Paragraphedeliste"/>
              <w:jc w:val="center"/>
              <w:cnfStyle w:val="000000100000" w:firstRow="0" w:lastRow="0" w:firstColumn="0" w:lastColumn="0" w:oddVBand="0" w:evenVBand="0" w:oddHBand="1" w:evenHBand="0" w:firstRowFirstColumn="0" w:firstRowLastColumn="0" w:lastRowFirstColumn="0" w:lastRowLastColumn="0"/>
            </w:pPr>
            <w:r>
              <w:t>-0,00036</w:t>
            </w:r>
          </w:p>
        </w:tc>
      </w:tr>
    </w:tbl>
    <w:p w:rsidR="00FB3F25" w:rsidRDefault="00FB3F25" w:rsidP="00313790">
      <w:pPr>
        <w:jc w:val="both"/>
        <w:rPr>
          <w:sz w:val="28"/>
          <w:szCs w:val="28"/>
          <w:u w:val="single"/>
        </w:rPr>
      </w:pPr>
    </w:p>
    <w:p w:rsidR="005A5E28" w:rsidRDefault="00464101" w:rsidP="005A5E28">
      <w:pPr>
        <w:ind w:left="426"/>
        <w:jc w:val="both"/>
        <w:rPr>
          <w:sz w:val="26"/>
          <w:szCs w:val="26"/>
        </w:rPr>
      </w:pPr>
      <w:r>
        <w:rPr>
          <w:sz w:val="26"/>
          <w:szCs w:val="26"/>
        </w:rPr>
        <w:t>Sur base des constation</w:t>
      </w:r>
      <w:r w:rsidR="005A5E28">
        <w:rPr>
          <w:sz w:val="26"/>
          <w:szCs w:val="26"/>
        </w:rPr>
        <w:t>s tiré</w:t>
      </w:r>
      <w:r>
        <w:rPr>
          <w:sz w:val="26"/>
          <w:szCs w:val="26"/>
        </w:rPr>
        <w:t>e</w:t>
      </w:r>
      <w:r w:rsidR="005A5E28">
        <w:rPr>
          <w:sz w:val="26"/>
          <w:szCs w:val="26"/>
        </w:rPr>
        <w:t xml:space="preserve">s de ce premier tableau, </w:t>
      </w:r>
      <w:r w:rsidR="00F3762A">
        <w:rPr>
          <w:sz w:val="26"/>
          <w:szCs w:val="26"/>
        </w:rPr>
        <w:t>et en nous focalisant sur une période événementielle de cinq jours avec comparaison avec l’indice de marché</w:t>
      </w:r>
      <w:r>
        <w:rPr>
          <w:sz w:val="26"/>
          <w:szCs w:val="26"/>
        </w:rPr>
        <w:t>, nous faisons l’observation</w:t>
      </w:r>
      <w:r w:rsidR="00F3762A">
        <w:rPr>
          <w:sz w:val="26"/>
          <w:szCs w:val="26"/>
        </w:rPr>
        <w:t xml:space="preserve"> que le contenu informationnel lié à l’annulation des dividendes a été perçu de manière négative</w:t>
      </w:r>
      <w:r w:rsidR="00250567">
        <w:rPr>
          <w:sz w:val="26"/>
          <w:szCs w:val="26"/>
        </w:rPr>
        <w:t xml:space="preserve"> par les marchés</w:t>
      </w:r>
      <w:r w:rsidR="008E5715">
        <w:rPr>
          <w:sz w:val="26"/>
          <w:szCs w:val="26"/>
        </w:rPr>
        <w:t xml:space="preserve"> (la confirmation et l’annulation ont des effets soit moins négatifs, soit positifs)</w:t>
      </w:r>
      <w:r w:rsidR="00F3762A">
        <w:rPr>
          <w:sz w:val="26"/>
          <w:szCs w:val="26"/>
        </w:rPr>
        <w:t>.</w:t>
      </w:r>
      <w:r w:rsidR="00250567">
        <w:rPr>
          <w:sz w:val="26"/>
          <w:szCs w:val="26"/>
        </w:rPr>
        <w:t xml:space="preserve"> Ce constat peut être expliqué de diverses manières. En considérant le contenu informationnel associé à la politique de distribution, si le dividende fait référence à la performance passée de l’entreprise, </w:t>
      </w:r>
      <w:r w:rsidR="00553A06">
        <w:rPr>
          <w:sz w:val="26"/>
          <w:szCs w:val="26"/>
        </w:rPr>
        <w:t xml:space="preserve">alors </w:t>
      </w:r>
      <w:r w:rsidR="00250567">
        <w:rPr>
          <w:sz w:val="26"/>
          <w:szCs w:val="26"/>
        </w:rPr>
        <w:t>son annulation constitue un marq</w:t>
      </w:r>
      <w:r w:rsidR="00553A06">
        <w:rPr>
          <w:sz w:val="26"/>
          <w:szCs w:val="26"/>
        </w:rPr>
        <w:t xml:space="preserve">ueur de </w:t>
      </w:r>
      <w:r w:rsidR="00250567">
        <w:rPr>
          <w:sz w:val="26"/>
          <w:szCs w:val="26"/>
        </w:rPr>
        <w:t xml:space="preserve">problèmes </w:t>
      </w:r>
      <w:r w:rsidR="00553A06">
        <w:rPr>
          <w:sz w:val="26"/>
          <w:szCs w:val="26"/>
        </w:rPr>
        <w:t xml:space="preserve">potentiels </w:t>
      </w:r>
      <w:r w:rsidR="00250567">
        <w:rPr>
          <w:sz w:val="26"/>
          <w:szCs w:val="26"/>
        </w:rPr>
        <w:t>que pourrait rencontrer l’entreprise dans le futur.</w:t>
      </w:r>
      <w:r w:rsidR="0020705C">
        <w:rPr>
          <w:sz w:val="26"/>
          <w:szCs w:val="26"/>
        </w:rPr>
        <w:t xml:space="preserve"> Certains titres sont recherchés par les investisseurs pour leur généreuse politique de distribution ; si celle-ci est revue, alors les actions ne présentent plus d’intérêt pour les opérateurs boursiers. Dans cette logique de quasi-contrat entre le débiteur e</w:t>
      </w:r>
      <w:r w:rsidR="008E5715">
        <w:rPr>
          <w:sz w:val="26"/>
          <w:szCs w:val="26"/>
        </w:rPr>
        <w:t>t s</w:t>
      </w:r>
      <w:r>
        <w:rPr>
          <w:sz w:val="26"/>
          <w:szCs w:val="26"/>
        </w:rPr>
        <w:t xml:space="preserve">es créanciers, il peut </w:t>
      </w:r>
      <w:r w:rsidR="0020705C">
        <w:rPr>
          <w:sz w:val="26"/>
          <w:szCs w:val="26"/>
        </w:rPr>
        <w:t>s’agir d’une rupture de confiance</w:t>
      </w:r>
      <w:r w:rsidR="003047B1">
        <w:rPr>
          <w:sz w:val="26"/>
          <w:szCs w:val="26"/>
        </w:rPr>
        <w:t xml:space="preserve"> en dépit du fai</w:t>
      </w:r>
      <w:r w:rsidR="005D6A17">
        <w:rPr>
          <w:sz w:val="26"/>
          <w:szCs w:val="26"/>
        </w:rPr>
        <w:t>t que les entreprises ont paru particulièrement optimiste</w:t>
      </w:r>
      <w:r w:rsidR="00B969DB">
        <w:rPr>
          <w:sz w:val="26"/>
          <w:szCs w:val="26"/>
        </w:rPr>
        <w:t xml:space="preserve"> en ce qui concerne le retour aux</w:t>
      </w:r>
      <w:r w:rsidR="005D6A17">
        <w:rPr>
          <w:sz w:val="26"/>
          <w:szCs w:val="26"/>
        </w:rPr>
        <w:t xml:space="preserve"> versements dans le futur.</w:t>
      </w:r>
      <w:r w:rsidR="00BF5AA8">
        <w:rPr>
          <w:sz w:val="26"/>
          <w:szCs w:val="26"/>
        </w:rPr>
        <w:t xml:space="preserve"> L’annulation des dividendes peut constituer un aveu de faiblesse des entreprises ; elle</w:t>
      </w:r>
      <w:r w:rsidR="00AF7F9D">
        <w:rPr>
          <w:sz w:val="26"/>
          <w:szCs w:val="26"/>
        </w:rPr>
        <w:t>s</w:t>
      </w:r>
      <w:r w:rsidR="00BF5AA8">
        <w:rPr>
          <w:sz w:val="26"/>
          <w:szCs w:val="26"/>
        </w:rPr>
        <w:t xml:space="preserve"> doivent ainsi improviser dans l’urgence une solution pour assurer la consolidation de leur structure financière.</w:t>
      </w:r>
      <w:r w:rsidR="003047B1">
        <w:rPr>
          <w:sz w:val="26"/>
          <w:szCs w:val="26"/>
        </w:rPr>
        <w:t xml:space="preserve"> </w:t>
      </w:r>
      <w:r w:rsidR="0020705C">
        <w:rPr>
          <w:sz w:val="26"/>
          <w:szCs w:val="26"/>
        </w:rPr>
        <w:t xml:space="preserve"> </w:t>
      </w:r>
    </w:p>
    <w:p w:rsidR="00D56CE6" w:rsidRPr="00D56CE6" w:rsidRDefault="00D56CE6" w:rsidP="00D56CE6">
      <w:pPr>
        <w:pStyle w:val="Paragraphedeliste"/>
        <w:numPr>
          <w:ilvl w:val="1"/>
          <w:numId w:val="1"/>
        </w:numPr>
        <w:jc w:val="both"/>
        <w:rPr>
          <w:sz w:val="26"/>
          <w:szCs w:val="26"/>
          <w:u w:val="single"/>
        </w:rPr>
      </w:pPr>
      <w:r w:rsidRPr="00D56CE6">
        <w:rPr>
          <w:sz w:val="26"/>
          <w:szCs w:val="26"/>
          <w:u w:val="single"/>
        </w:rPr>
        <w:t>Réactions boursières avec distinction temporelle</w:t>
      </w:r>
    </w:p>
    <w:p w:rsidR="00FB3F25" w:rsidRPr="00FB3F25" w:rsidRDefault="00FB3F25" w:rsidP="00FB3F25">
      <w:pPr>
        <w:ind w:left="426"/>
        <w:jc w:val="both"/>
        <w:rPr>
          <w:sz w:val="26"/>
          <w:szCs w:val="26"/>
          <w:u w:val="single"/>
        </w:rPr>
      </w:pPr>
      <w:r w:rsidRPr="00FB3F25">
        <w:rPr>
          <w:sz w:val="26"/>
          <w:szCs w:val="26"/>
          <w:u w:val="single"/>
        </w:rPr>
        <w:t>Tableau 5 : moyenne des réactions boursières aux annonces relatives à la politique de distribution de</w:t>
      </w:r>
      <w:r>
        <w:rPr>
          <w:sz w:val="26"/>
          <w:szCs w:val="26"/>
          <w:u w:val="single"/>
        </w:rPr>
        <w:t xml:space="preserve"> dividendes (avant le 27 mars</w:t>
      </w:r>
      <w:r w:rsidRPr="00FB3F25">
        <w:rPr>
          <w:sz w:val="26"/>
          <w:szCs w:val="26"/>
          <w:u w:val="single"/>
        </w:rPr>
        <w:t>, sans et avec correction par le marché)</w:t>
      </w:r>
    </w:p>
    <w:tbl>
      <w:tblPr>
        <w:tblStyle w:val="Tableausimple1"/>
        <w:tblW w:w="8930" w:type="dxa"/>
        <w:tblInd w:w="421" w:type="dxa"/>
        <w:tblLook w:val="04A0" w:firstRow="1" w:lastRow="0" w:firstColumn="1" w:lastColumn="0" w:noHBand="0" w:noVBand="1"/>
      </w:tblPr>
      <w:tblGrid>
        <w:gridCol w:w="1737"/>
        <w:gridCol w:w="1310"/>
        <w:gridCol w:w="1385"/>
        <w:gridCol w:w="2372"/>
        <w:gridCol w:w="2126"/>
      </w:tblGrid>
      <w:tr w:rsidR="00FB3F25" w:rsidRPr="00FB3F25" w:rsidTr="000D06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noWrap/>
            <w:hideMark/>
          </w:tcPr>
          <w:p w:rsidR="00FB3F25" w:rsidRPr="00FB3F25" w:rsidRDefault="00C4736F" w:rsidP="00C4736F">
            <w:pPr>
              <w:jc w:val="both"/>
            </w:pPr>
            <w:r>
              <w:t>Moyenne</w:t>
            </w:r>
          </w:p>
        </w:tc>
        <w:tc>
          <w:tcPr>
            <w:tcW w:w="0" w:type="auto"/>
            <w:noWrap/>
            <w:hideMark/>
          </w:tcPr>
          <w:p w:rsidR="00FB3F25" w:rsidRPr="00FB3F25" w:rsidRDefault="00FB3F25" w:rsidP="00FB3F25">
            <w:pPr>
              <w:ind w:left="360"/>
              <w:jc w:val="both"/>
              <w:cnfStyle w:val="100000000000" w:firstRow="1" w:lastRow="0" w:firstColumn="0" w:lastColumn="0" w:oddVBand="0" w:evenVBand="0" w:oddHBand="0" w:evenHBand="0" w:firstRowFirstColumn="0" w:firstRowLastColumn="0" w:lastRowFirstColumn="0" w:lastRowLastColumn="0"/>
            </w:pPr>
            <w:r w:rsidRPr="00FB3F25">
              <w:t>(t-1;t0)</w:t>
            </w:r>
          </w:p>
        </w:tc>
        <w:tc>
          <w:tcPr>
            <w:tcW w:w="0" w:type="auto"/>
            <w:noWrap/>
            <w:hideMark/>
          </w:tcPr>
          <w:p w:rsidR="00FB3F25" w:rsidRPr="00FB3F25" w:rsidRDefault="00FB3F25" w:rsidP="00FB3F25">
            <w:pPr>
              <w:ind w:left="360"/>
              <w:jc w:val="both"/>
              <w:cnfStyle w:val="100000000000" w:firstRow="1" w:lastRow="0" w:firstColumn="0" w:lastColumn="0" w:oddVBand="0" w:evenVBand="0" w:oddHBand="0" w:evenHBand="0" w:firstRowFirstColumn="0" w:firstRowLastColumn="0" w:lastRowFirstColumn="0" w:lastRowLastColumn="0"/>
            </w:pPr>
            <w:r w:rsidRPr="00FB3F25">
              <w:t>(t-2;t+2)</w:t>
            </w:r>
          </w:p>
        </w:tc>
        <w:tc>
          <w:tcPr>
            <w:tcW w:w="2372" w:type="dxa"/>
            <w:noWrap/>
            <w:hideMark/>
          </w:tcPr>
          <w:p w:rsidR="00FB3F25" w:rsidRPr="00FB3F25" w:rsidRDefault="00FB3F25" w:rsidP="00FB3F25">
            <w:pPr>
              <w:ind w:left="360"/>
              <w:jc w:val="both"/>
              <w:cnfStyle w:val="100000000000" w:firstRow="1" w:lastRow="0" w:firstColumn="0" w:lastColumn="0" w:oddVBand="0" w:evenVBand="0" w:oddHBand="0" w:evenHBand="0" w:firstRowFirstColumn="0" w:firstRowLastColumn="0" w:lastRowFirstColumn="0" w:lastRowLastColumn="0"/>
            </w:pPr>
            <w:r w:rsidRPr="00FB3F25">
              <w:t>(t1;t0, SBF120)</w:t>
            </w:r>
          </w:p>
        </w:tc>
        <w:tc>
          <w:tcPr>
            <w:tcW w:w="2126" w:type="dxa"/>
            <w:noWrap/>
            <w:hideMark/>
          </w:tcPr>
          <w:p w:rsidR="00FB3F25" w:rsidRPr="00FB3F25" w:rsidRDefault="00FB3F25" w:rsidP="00FB3F25">
            <w:pPr>
              <w:ind w:left="360"/>
              <w:jc w:val="both"/>
              <w:cnfStyle w:val="100000000000" w:firstRow="1" w:lastRow="0" w:firstColumn="0" w:lastColumn="0" w:oddVBand="0" w:evenVBand="0" w:oddHBand="0" w:evenHBand="0" w:firstRowFirstColumn="0" w:firstRowLastColumn="0" w:lastRowFirstColumn="0" w:lastRowLastColumn="0"/>
            </w:pPr>
            <w:r w:rsidRPr="00FB3F25">
              <w:t>(t-2;t+2, SBF120)</w:t>
            </w:r>
          </w:p>
        </w:tc>
      </w:tr>
      <w:tr w:rsidR="00FB3F25" w:rsidRPr="00FB3F25" w:rsidTr="000D0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noWrap/>
            <w:hideMark/>
          </w:tcPr>
          <w:p w:rsidR="00FB3F25" w:rsidRPr="00FB3F25" w:rsidRDefault="00FB3F25" w:rsidP="00FB3F25">
            <w:pPr>
              <w:jc w:val="both"/>
            </w:pPr>
            <w:r>
              <w:t>Annulés,</w:t>
            </w:r>
            <w:r w:rsidRPr="00FB3F25">
              <w:t xml:space="preserve"> réduit</w:t>
            </w:r>
            <w:r>
              <w:t xml:space="preserve"> (n=6</w:t>
            </w:r>
            <w:r w:rsidR="005A5E28">
              <w:t>, 5+1</w:t>
            </w:r>
            <w:r>
              <w:t>)</w:t>
            </w:r>
          </w:p>
        </w:tc>
        <w:tc>
          <w:tcPr>
            <w:tcW w:w="0" w:type="auto"/>
            <w:noWrap/>
            <w:hideMark/>
          </w:tcPr>
          <w:p w:rsidR="00FB3F25" w:rsidRPr="00FB3F25" w:rsidRDefault="00FB3F25" w:rsidP="00FB3F25">
            <w:pPr>
              <w:ind w:left="360"/>
              <w:jc w:val="both"/>
              <w:cnfStyle w:val="000000100000" w:firstRow="0" w:lastRow="0" w:firstColumn="0" w:lastColumn="0" w:oddVBand="0" w:evenVBand="0" w:oddHBand="1" w:evenHBand="0" w:firstRowFirstColumn="0" w:firstRowLastColumn="0" w:lastRowFirstColumn="0" w:lastRowLastColumn="0"/>
            </w:pPr>
            <w:r>
              <w:t>-0,0494</w:t>
            </w:r>
          </w:p>
        </w:tc>
        <w:tc>
          <w:tcPr>
            <w:tcW w:w="0" w:type="auto"/>
            <w:noWrap/>
            <w:hideMark/>
          </w:tcPr>
          <w:p w:rsidR="00FB3F25" w:rsidRPr="00FB3F25" w:rsidRDefault="00FB3F25" w:rsidP="00FB3F25">
            <w:pPr>
              <w:ind w:left="360"/>
              <w:jc w:val="both"/>
              <w:cnfStyle w:val="000000100000" w:firstRow="0" w:lastRow="0" w:firstColumn="0" w:lastColumn="0" w:oddVBand="0" w:evenVBand="0" w:oddHBand="1" w:evenHBand="0" w:firstRowFirstColumn="0" w:firstRowLastColumn="0" w:lastRowFirstColumn="0" w:lastRowLastColumn="0"/>
            </w:pPr>
            <w:r>
              <w:t>-0,0822</w:t>
            </w:r>
          </w:p>
        </w:tc>
        <w:tc>
          <w:tcPr>
            <w:tcW w:w="2372" w:type="dxa"/>
            <w:noWrap/>
            <w:hideMark/>
          </w:tcPr>
          <w:p w:rsidR="00FB3F25" w:rsidRPr="00FB3F25" w:rsidRDefault="00FB3F25" w:rsidP="00FB3F25">
            <w:pPr>
              <w:ind w:left="360"/>
              <w:jc w:val="both"/>
              <w:cnfStyle w:val="000000100000" w:firstRow="0" w:lastRow="0" w:firstColumn="0" w:lastColumn="0" w:oddVBand="0" w:evenVBand="0" w:oddHBand="1" w:evenHBand="0" w:firstRowFirstColumn="0" w:firstRowLastColumn="0" w:lastRowFirstColumn="0" w:lastRowLastColumn="0"/>
            </w:pPr>
            <w:r>
              <w:t>-0,0491</w:t>
            </w:r>
          </w:p>
        </w:tc>
        <w:tc>
          <w:tcPr>
            <w:tcW w:w="2126" w:type="dxa"/>
            <w:noWrap/>
            <w:hideMark/>
          </w:tcPr>
          <w:p w:rsidR="00FB3F25" w:rsidRPr="00FB3F25" w:rsidRDefault="00FB3F25" w:rsidP="00FB3F25">
            <w:pPr>
              <w:ind w:left="360"/>
              <w:jc w:val="both"/>
              <w:cnfStyle w:val="000000100000" w:firstRow="0" w:lastRow="0" w:firstColumn="0" w:lastColumn="0" w:oddVBand="0" w:evenVBand="0" w:oddHBand="1" w:evenHBand="0" w:firstRowFirstColumn="0" w:firstRowLastColumn="0" w:lastRowFirstColumn="0" w:lastRowLastColumn="0"/>
            </w:pPr>
            <w:r>
              <w:t>-0,1747</w:t>
            </w:r>
          </w:p>
        </w:tc>
      </w:tr>
      <w:tr w:rsidR="00FB3F25" w:rsidRPr="00FB3F25" w:rsidTr="000D06C7">
        <w:trPr>
          <w:trHeight w:val="300"/>
        </w:trPr>
        <w:tc>
          <w:tcPr>
            <w:cnfStyle w:val="001000000000" w:firstRow="0" w:lastRow="0" w:firstColumn="1" w:lastColumn="0" w:oddVBand="0" w:evenVBand="0" w:oddHBand="0" w:evenHBand="0" w:firstRowFirstColumn="0" w:firstRowLastColumn="0" w:lastRowFirstColumn="0" w:lastRowLastColumn="0"/>
            <w:tcW w:w="1737" w:type="dxa"/>
            <w:noWrap/>
            <w:hideMark/>
          </w:tcPr>
          <w:p w:rsidR="00FB3F25" w:rsidRPr="00FB3F25" w:rsidRDefault="00FB3F25" w:rsidP="00FB3F25">
            <w:pPr>
              <w:jc w:val="both"/>
            </w:pPr>
            <w:r>
              <w:t>C</w:t>
            </w:r>
            <w:r w:rsidRPr="00FB3F25">
              <w:t>onfirmés</w:t>
            </w:r>
            <w:r>
              <w:t xml:space="preserve"> (n=5)</w:t>
            </w:r>
            <w:r w:rsidRPr="00FB3F25">
              <w:t xml:space="preserve"> </w:t>
            </w:r>
          </w:p>
        </w:tc>
        <w:tc>
          <w:tcPr>
            <w:tcW w:w="0" w:type="auto"/>
            <w:noWrap/>
            <w:hideMark/>
          </w:tcPr>
          <w:p w:rsidR="00FB3F25" w:rsidRPr="00FB3F25" w:rsidRDefault="00FB3F25" w:rsidP="00FB3F25">
            <w:pPr>
              <w:ind w:left="360"/>
              <w:jc w:val="both"/>
              <w:cnfStyle w:val="000000000000" w:firstRow="0" w:lastRow="0" w:firstColumn="0" w:lastColumn="0" w:oddVBand="0" w:evenVBand="0" w:oddHBand="0" w:evenHBand="0" w:firstRowFirstColumn="0" w:firstRowLastColumn="0" w:lastRowFirstColumn="0" w:lastRowLastColumn="0"/>
            </w:pPr>
            <w:r>
              <w:t>-0,0823</w:t>
            </w:r>
          </w:p>
        </w:tc>
        <w:tc>
          <w:tcPr>
            <w:tcW w:w="0" w:type="auto"/>
            <w:noWrap/>
            <w:hideMark/>
          </w:tcPr>
          <w:p w:rsidR="00FB3F25" w:rsidRPr="00FB3F25" w:rsidRDefault="00FB3F25" w:rsidP="00FB3F25">
            <w:pPr>
              <w:ind w:left="360"/>
              <w:jc w:val="both"/>
              <w:cnfStyle w:val="000000000000" w:firstRow="0" w:lastRow="0" w:firstColumn="0" w:lastColumn="0" w:oddVBand="0" w:evenVBand="0" w:oddHBand="0" w:evenHBand="0" w:firstRowFirstColumn="0" w:firstRowLastColumn="0" w:lastRowFirstColumn="0" w:lastRowLastColumn="0"/>
            </w:pPr>
            <w:r>
              <w:t>-0,0547</w:t>
            </w:r>
          </w:p>
        </w:tc>
        <w:tc>
          <w:tcPr>
            <w:tcW w:w="2372" w:type="dxa"/>
            <w:noWrap/>
            <w:hideMark/>
          </w:tcPr>
          <w:p w:rsidR="00FB3F25" w:rsidRPr="00FB3F25" w:rsidRDefault="00FB3F25" w:rsidP="00FB3F25">
            <w:pPr>
              <w:ind w:left="360"/>
              <w:jc w:val="both"/>
              <w:cnfStyle w:val="000000000000" w:firstRow="0" w:lastRow="0" w:firstColumn="0" w:lastColumn="0" w:oddVBand="0" w:evenVBand="0" w:oddHBand="0" w:evenHBand="0" w:firstRowFirstColumn="0" w:firstRowLastColumn="0" w:lastRowFirstColumn="0" w:lastRowLastColumn="0"/>
            </w:pPr>
            <w:r>
              <w:t>-0,0569</w:t>
            </w:r>
          </w:p>
        </w:tc>
        <w:tc>
          <w:tcPr>
            <w:tcW w:w="2126" w:type="dxa"/>
            <w:noWrap/>
            <w:hideMark/>
          </w:tcPr>
          <w:p w:rsidR="00FB3F25" w:rsidRPr="00FB3F25" w:rsidRDefault="00FB3F25" w:rsidP="00FB3F25">
            <w:pPr>
              <w:ind w:left="360"/>
              <w:jc w:val="both"/>
              <w:cnfStyle w:val="000000000000" w:firstRow="0" w:lastRow="0" w:firstColumn="0" w:lastColumn="0" w:oddVBand="0" w:evenVBand="0" w:oddHBand="0" w:evenHBand="0" w:firstRowFirstColumn="0" w:firstRowLastColumn="0" w:lastRowFirstColumn="0" w:lastRowLastColumn="0"/>
            </w:pPr>
            <w:r>
              <w:t>-0,057</w:t>
            </w:r>
          </w:p>
        </w:tc>
      </w:tr>
    </w:tbl>
    <w:p w:rsidR="00FB3F25" w:rsidRDefault="00FB3F25" w:rsidP="009C5D8E">
      <w:pPr>
        <w:ind w:left="426"/>
        <w:jc w:val="both"/>
        <w:rPr>
          <w:sz w:val="26"/>
          <w:szCs w:val="26"/>
          <w:u w:val="single"/>
        </w:rPr>
      </w:pPr>
    </w:p>
    <w:p w:rsidR="009C5D8E" w:rsidRPr="004005A7" w:rsidRDefault="001521B1" w:rsidP="004005A7">
      <w:pPr>
        <w:ind w:left="426"/>
        <w:jc w:val="both"/>
        <w:rPr>
          <w:sz w:val="26"/>
          <w:szCs w:val="26"/>
        </w:rPr>
      </w:pPr>
      <w:r>
        <w:rPr>
          <w:sz w:val="26"/>
          <w:szCs w:val="26"/>
        </w:rPr>
        <w:t>A noter qu’à ce niveau, nous avons aggloméré les résultats boursiers issus de la décision d’annulation du dividende et celui (SES Global)</w:t>
      </w:r>
      <w:r w:rsidR="007D0255">
        <w:rPr>
          <w:sz w:val="26"/>
          <w:szCs w:val="26"/>
        </w:rPr>
        <w:t xml:space="preserve"> issu</w:t>
      </w:r>
      <w:r>
        <w:rPr>
          <w:sz w:val="26"/>
          <w:szCs w:val="26"/>
        </w:rPr>
        <w:t xml:space="preserve"> de la décision de réduction, dans la mesure où nous jugeons l’éventuel effet négatif engendré par la surprise engendrée par la révision.</w:t>
      </w:r>
      <w:r w:rsidR="003925D6">
        <w:rPr>
          <w:sz w:val="26"/>
          <w:szCs w:val="26"/>
        </w:rPr>
        <w:t xml:space="preserve"> </w:t>
      </w:r>
      <w:r w:rsidR="007F01B4">
        <w:rPr>
          <w:sz w:val="26"/>
          <w:szCs w:val="26"/>
        </w:rPr>
        <w:t>A ce moment-là, les marchés n’ont pas nécessairement consci</w:t>
      </w:r>
      <w:r w:rsidR="00B50928">
        <w:rPr>
          <w:sz w:val="26"/>
          <w:szCs w:val="26"/>
        </w:rPr>
        <w:t>ence</w:t>
      </w:r>
      <w:r w:rsidR="00E85DDE">
        <w:rPr>
          <w:sz w:val="26"/>
          <w:szCs w:val="26"/>
        </w:rPr>
        <w:t>,</w:t>
      </w:r>
      <w:r w:rsidR="00B50928">
        <w:rPr>
          <w:sz w:val="26"/>
          <w:szCs w:val="26"/>
        </w:rPr>
        <w:t xml:space="preserve"> </w:t>
      </w:r>
      <w:r w:rsidR="007D0255">
        <w:rPr>
          <w:sz w:val="26"/>
          <w:szCs w:val="26"/>
        </w:rPr>
        <w:t>premièrement</w:t>
      </w:r>
      <w:r w:rsidR="00E85DDE">
        <w:rPr>
          <w:sz w:val="26"/>
          <w:szCs w:val="26"/>
        </w:rPr>
        <w:t>,</w:t>
      </w:r>
      <w:r w:rsidR="007D0255">
        <w:rPr>
          <w:sz w:val="26"/>
          <w:szCs w:val="26"/>
        </w:rPr>
        <w:t xml:space="preserve"> </w:t>
      </w:r>
      <w:r w:rsidR="00B50928">
        <w:rPr>
          <w:sz w:val="26"/>
          <w:szCs w:val="26"/>
        </w:rPr>
        <w:t>du large mouvement de modificat</w:t>
      </w:r>
      <w:r w:rsidR="007F01B4">
        <w:rPr>
          <w:sz w:val="26"/>
          <w:szCs w:val="26"/>
        </w:rPr>
        <w:t>ion de la politique de distribution des dividendes qui va se produire dans les semaines qui suivent</w:t>
      </w:r>
      <w:r w:rsidR="007D0255">
        <w:rPr>
          <w:sz w:val="26"/>
          <w:szCs w:val="26"/>
        </w:rPr>
        <w:t xml:space="preserve"> et</w:t>
      </w:r>
      <w:r w:rsidR="00E85DDE">
        <w:rPr>
          <w:sz w:val="26"/>
          <w:szCs w:val="26"/>
        </w:rPr>
        <w:t>,</w:t>
      </w:r>
      <w:r w:rsidR="007D0255">
        <w:rPr>
          <w:sz w:val="26"/>
          <w:szCs w:val="26"/>
        </w:rPr>
        <w:t xml:space="preserve"> deuxièmement</w:t>
      </w:r>
      <w:r w:rsidR="00E85DDE">
        <w:rPr>
          <w:sz w:val="26"/>
          <w:szCs w:val="26"/>
        </w:rPr>
        <w:t>,</w:t>
      </w:r>
      <w:r w:rsidR="00AD4271">
        <w:rPr>
          <w:sz w:val="26"/>
          <w:szCs w:val="26"/>
        </w:rPr>
        <w:t xml:space="preserve"> de l’intervention publique du</w:t>
      </w:r>
      <w:r w:rsidR="007D0255">
        <w:rPr>
          <w:sz w:val="26"/>
          <w:szCs w:val="26"/>
        </w:rPr>
        <w:t xml:space="preserve"> 27 mars</w:t>
      </w:r>
      <w:r w:rsidR="007F01B4">
        <w:rPr>
          <w:sz w:val="26"/>
          <w:szCs w:val="26"/>
        </w:rPr>
        <w:t xml:space="preserve">. </w:t>
      </w:r>
      <w:r w:rsidR="003925D6">
        <w:rPr>
          <w:sz w:val="26"/>
          <w:szCs w:val="26"/>
        </w:rPr>
        <w:t>Dans tous les cas de figure (tant pour les révisions que pour le maintien), les effets moyens sont négatifs et d’ampleur</w:t>
      </w:r>
      <w:r w:rsidR="00927359">
        <w:rPr>
          <w:sz w:val="26"/>
          <w:szCs w:val="26"/>
        </w:rPr>
        <w:t xml:space="preserve"> importa</w:t>
      </w:r>
      <w:r w:rsidR="00F1026E">
        <w:rPr>
          <w:sz w:val="26"/>
          <w:szCs w:val="26"/>
        </w:rPr>
        <w:t>nte</w:t>
      </w:r>
      <w:r w:rsidR="003925D6">
        <w:rPr>
          <w:sz w:val="26"/>
          <w:szCs w:val="26"/>
        </w:rPr>
        <w:t>. Du fait du peu d’ob</w:t>
      </w:r>
      <w:r w:rsidR="00DE5E13">
        <w:rPr>
          <w:sz w:val="26"/>
          <w:szCs w:val="26"/>
        </w:rPr>
        <w:t xml:space="preserve">servations </w:t>
      </w:r>
      <w:r w:rsidR="003925D6">
        <w:rPr>
          <w:sz w:val="26"/>
          <w:szCs w:val="26"/>
        </w:rPr>
        <w:t>(11), nous ne pouvons pas dégager de tendance sur des comportements boursiers différenciés en fonction du type d’annonce. Nous pouvons simplement avancer que, durant cette période (entre la fin du mois de février et la fin du mois de mars</w:t>
      </w:r>
      <w:r w:rsidR="00B144E4">
        <w:rPr>
          <w:sz w:val="26"/>
          <w:szCs w:val="26"/>
        </w:rPr>
        <w:t>, l’indice SBF120 a perdu 27,7%</w:t>
      </w:r>
      <w:r w:rsidR="003925D6">
        <w:rPr>
          <w:sz w:val="26"/>
          <w:szCs w:val="26"/>
        </w:rPr>
        <w:t>), la confiance</w:t>
      </w:r>
      <w:r w:rsidR="007D0255">
        <w:rPr>
          <w:sz w:val="26"/>
          <w:szCs w:val="26"/>
        </w:rPr>
        <w:t xml:space="preserve"> vis-à-vis des entreprises a été</w:t>
      </w:r>
      <w:r w:rsidR="003925D6">
        <w:rPr>
          <w:sz w:val="26"/>
          <w:szCs w:val="26"/>
        </w:rPr>
        <w:t xml:space="preserve"> brisée et quel que soit le type d’annonces (à contenu informationnel </w:t>
      </w:r>
      <w:r w:rsidR="007F01B4">
        <w:rPr>
          <w:sz w:val="26"/>
          <w:szCs w:val="26"/>
        </w:rPr>
        <w:t xml:space="preserve">a priori </w:t>
      </w:r>
      <w:r w:rsidR="003925D6">
        <w:rPr>
          <w:sz w:val="26"/>
          <w:szCs w:val="26"/>
        </w:rPr>
        <w:t>positif ou négatif, si tant est que les acteurs financiers étaient</w:t>
      </w:r>
      <w:r w:rsidR="00DE5E13">
        <w:rPr>
          <w:sz w:val="26"/>
          <w:szCs w:val="26"/>
        </w:rPr>
        <w:t>,</w:t>
      </w:r>
      <w:r w:rsidR="003925D6">
        <w:rPr>
          <w:sz w:val="26"/>
          <w:szCs w:val="26"/>
        </w:rPr>
        <w:t xml:space="preserve"> à l’époque</w:t>
      </w:r>
      <w:r w:rsidR="00DE5E13">
        <w:rPr>
          <w:sz w:val="26"/>
          <w:szCs w:val="26"/>
        </w:rPr>
        <w:t>,</w:t>
      </w:r>
      <w:r w:rsidR="003925D6">
        <w:rPr>
          <w:sz w:val="26"/>
          <w:szCs w:val="26"/>
        </w:rPr>
        <w:t xml:space="preserve"> </w:t>
      </w:r>
      <w:r w:rsidR="007F01B4">
        <w:rPr>
          <w:sz w:val="26"/>
          <w:szCs w:val="26"/>
        </w:rPr>
        <w:t xml:space="preserve">encore </w:t>
      </w:r>
      <w:r w:rsidR="003925D6">
        <w:rPr>
          <w:sz w:val="26"/>
          <w:szCs w:val="26"/>
        </w:rPr>
        <w:t>capables d’en juger</w:t>
      </w:r>
      <w:r w:rsidR="007F01B4">
        <w:rPr>
          <w:sz w:val="26"/>
          <w:szCs w:val="26"/>
        </w:rPr>
        <w:t xml:space="preserve"> de manière rationnelle</w:t>
      </w:r>
      <w:r w:rsidR="00DE5E13">
        <w:rPr>
          <w:sz w:val="26"/>
          <w:szCs w:val="26"/>
        </w:rPr>
        <w:t>),</w:t>
      </w:r>
      <w:r w:rsidR="007F01B4">
        <w:rPr>
          <w:sz w:val="26"/>
          <w:szCs w:val="26"/>
        </w:rPr>
        <w:t xml:space="preserve"> les opérateurs financiers</w:t>
      </w:r>
      <w:r w:rsidR="003925D6">
        <w:rPr>
          <w:sz w:val="26"/>
          <w:szCs w:val="26"/>
        </w:rPr>
        <w:t xml:space="preserve"> avaient tendance à </w:t>
      </w:r>
      <w:r w:rsidR="00A13EAC">
        <w:rPr>
          <w:sz w:val="26"/>
          <w:szCs w:val="26"/>
        </w:rPr>
        <w:t xml:space="preserve">fortement </w:t>
      </w:r>
      <w:r w:rsidR="003925D6">
        <w:rPr>
          <w:sz w:val="26"/>
          <w:szCs w:val="26"/>
        </w:rPr>
        <w:t>réduire leur exposition au risque.</w:t>
      </w:r>
    </w:p>
    <w:p w:rsidR="00313790" w:rsidRDefault="00C4736F" w:rsidP="00313790">
      <w:pPr>
        <w:ind w:left="360"/>
        <w:jc w:val="both"/>
        <w:rPr>
          <w:sz w:val="26"/>
          <w:szCs w:val="26"/>
          <w:u w:val="single"/>
        </w:rPr>
      </w:pPr>
      <w:r>
        <w:rPr>
          <w:sz w:val="26"/>
          <w:szCs w:val="26"/>
          <w:u w:val="single"/>
        </w:rPr>
        <w:t>Tableau 6</w:t>
      </w:r>
      <w:r w:rsidR="00313790" w:rsidRPr="00313790">
        <w:rPr>
          <w:sz w:val="26"/>
          <w:szCs w:val="26"/>
          <w:u w:val="single"/>
        </w:rPr>
        <w:t> : moyenne des réactions boursières aux annonces relatives à la politique de distribution de dividendes (période post 27 mars</w:t>
      </w:r>
      <w:r w:rsidR="002E5E91">
        <w:rPr>
          <w:sz w:val="26"/>
          <w:szCs w:val="26"/>
          <w:u w:val="single"/>
        </w:rPr>
        <w:t>, sans et avec correction par le marché</w:t>
      </w:r>
      <w:r w:rsidR="00313790" w:rsidRPr="00313790">
        <w:rPr>
          <w:sz w:val="26"/>
          <w:szCs w:val="26"/>
          <w:u w:val="single"/>
        </w:rPr>
        <w:t>)</w:t>
      </w:r>
    </w:p>
    <w:tbl>
      <w:tblPr>
        <w:tblStyle w:val="Tableausimple1"/>
        <w:tblW w:w="8930" w:type="dxa"/>
        <w:tblInd w:w="421" w:type="dxa"/>
        <w:tblLook w:val="04A0" w:firstRow="1" w:lastRow="0" w:firstColumn="1" w:lastColumn="0" w:noHBand="0" w:noVBand="1"/>
      </w:tblPr>
      <w:tblGrid>
        <w:gridCol w:w="1149"/>
        <w:gridCol w:w="1686"/>
        <w:gridCol w:w="1701"/>
        <w:gridCol w:w="2268"/>
        <w:gridCol w:w="2126"/>
      </w:tblGrid>
      <w:tr w:rsidR="003E4B53" w:rsidRPr="003E4B53" w:rsidTr="000D06C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3E4B53" w:rsidRPr="003E4B53" w:rsidRDefault="003E4B53" w:rsidP="003E4B53">
            <w:pPr>
              <w:jc w:val="both"/>
            </w:pPr>
            <w:r w:rsidRPr="003E4B53">
              <w:t>Moyenne</w:t>
            </w:r>
          </w:p>
        </w:tc>
        <w:tc>
          <w:tcPr>
            <w:tcW w:w="1686" w:type="dxa"/>
            <w:noWrap/>
            <w:hideMark/>
          </w:tcPr>
          <w:p w:rsidR="003E4B53" w:rsidRPr="003E4B53" w:rsidRDefault="003E4B53" w:rsidP="003E4B53">
            <w:pPr>
              <w:ind w:left="360"/>
              <w:jc w:val="both"/>
              <w:cnfStyle w:val="100000000000" w:firstRow="1" w:lastRow="0" w:firstColumn="0" w:lastColumn="0" w:oddVBand="0" w:evenVBand="0" w:oddHBand="0" w:evenHBand="0" w:firstRowFirstColumn="0" w:firstRowLastColumn="0" w:lastRowFirstColumn="0" w:lastRowLastColumn="0"/>
            </w:pPr>
            <w:r w:rsidRPr="003E4B53">
              <w:t>(t-1;</w:t>
            </w:r>
            <w:r w:rsidR="004005A7">
              <w:t xml:space="preserve"> </w:t>
            </w:r>
            <w:r w:rsidRPr="003E4B53">
              <w:t>t0)</w:t>
            </w:r>
          </w:p>
        </w:tc>
        <w:tc>
          <w:tcPr>
            <w:tcW w:w="1701" w:type="dxa"/>
            <w:noWrap/>
            <w:hideMark/>
          </w:tcPr>
          <w:p w:rsidR="003E4B53" w:rsidRPr="003E4B53" w:rsidRDefault="003E4B53" w:rsidP="003E4B53">
            <w:pPr>
              <w:ind w:left="360"/>
              <w:jc w:val="both"/>
              <w:cnfStyle w:val="100000000000" w:firstRow="1" w:lastRow="0" w:firstColumn="0" w:lastColumn="0" w:oddVBand="0" w:evenVBand="0" w:oddHBand="0" w:evenHBand="0" w:firstRowFirstColumn="0" w:firstRowLastColumn="0" w:lastRowFirstColumn="0" w:lastRowLastColumn="0"/>
            </w:pPr>
            <w:r w:rsidRPr="003E4B53">
              <w:t>(t-2;</w:t>
            </w:r>
            <w:r w:rsidR="004005A7">
              <w:t xml:space="preserve"> </w:t>
            </w:r>
            <w:r w:rsidRPr="003E4B53">
              <w:t>t+2)</w:t>
            </w:r>
          </w:p>
        </w:tc>
        <w:tc>
          <w:tcPr>
            <w:tcW w:w="2268" w:type="dxa"/>
            <w:noWrap/>
            <w:hideMark/>
          </w:tcPr>
          <w:p w:rsidR="003E4B53" w:rsidRPr="003E4B53" w:rsidRDefault="003E4B53" w:rsidP="003E4B53">
            <w:pPr>
              <w:ind w:left="360"/>
              <w:jc w:val="both"/>
              <w:cnfStyle w:val="100000000000" w:firstRow="1" w:lastRow="0" w:firstColumn="0" w:lastColumn="0" w:oddVBand="0" w:evenVBand="0" w:oddHBand="0" w:evenHBand="0" w:firstRowFirstColumn="0" w:firstRowLastColumn="0" w:lastRowFirstColumn="0" w:lastRowLastColumn="0"/>
            </w:pPr>
            <w:r w:rsidRPr="003E4B53">
              <w:t>(t-1;</w:t>
            </w:r>
            <w:r w:rsidR="004005A7">
              <w:t xml:space="preserve"> </w:t>
            </w:r>
            <w:r w:rsidRPr="003E4B53">
              <w:t>t0, SBF120)</w:t>
            </w:r>
          </w:p>
        </w:tc>
        <w:tc>
          <w:tcPr>
            <w:tcW w:w="2126" w:type="dxa"/>
            <w:noWrap/>
            <w:hideMark/>
          </w:tcPr>
          <w:p w:rsidR="003E4B53" w:rsidRPr="003E4B53" w:rsidRDefault="003E4B53" w:rsidP="003E4B53">
            <w:pPr>
              <w:ind w:left="360"/>
              <w:jc w:val="both"/>
              <w:cnfStyle w:val="100000000000" w:firstRow="1" w:lastRow="0" w:firstColumn="0" w:lastColumn="0" w:oddVBand="0" w:evenVBand="0" w:oddHBand="0" w:evenHBand="0" w:firstRowFirstColumn="0" w:firstRowLastColumn="0" w:lastRowFirstColumn="0" w:lastRowLastColumn="0"/>
            </w:pPr>
            <w:r w:rsidRPr="003E4B53">
              <w:t>(t-2;</w:t>
            </w:r>
            <w:r w:rsidR="004005A7">
              <w:t xml:space="preserve"> </w:t>
            </w:r>
            <w:r w:rsidRPr="003E4B53">
              <w:t>t+2, SBF120)</w:t>
            </w:r>
          </w:p>
        </w:tc>
      </w:tr>
      <w:tr w:rsidR="003E4B53" w:rsidRPr="003E4B53" w:rsidTr="000D0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3E4B53" w:rsidRPr="003E4B53" w:rsidRDefault="003E4B53" w:rsidP="003E4B53">
            <w:pPr>
              <w:jc w:val="both"/>
            </w:pPr>
            <w:r w:rsidRPr="003E4B53">
              <w:t>Annulés</w:t>
            </w:r>
          </w:p>
        </w:tc>
        <w:tc>
          <w:tcPr>
            <w:tcW w:w="1686"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-0,0072</w:t>
            </w:r>
          </w:p>
        </w:tc>
        <w:tc>
          <w:tcPr>
            <w:tcW w:w="1701"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-0,01183</w:t>
            </w:r>
          </w:p>
        </w:tc>
        <w:tc>
          <w:tcPr>
            <w:tcW w:w="2268"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-0,00737</w:t>
            </w:r>
          </w:p>
        </w:tc>
        <w:tc>
          <w:tcPr>
            <w:tcW w:w="2126"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-0,0181</w:t>
            </w:r>
          </w:p>
        </w:tc>
      </w:tr>
      <w:tr w:rsidR="003E4B53" w:rsidRPr="003E4B53" w:rsidTr="000D06C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3E4B53" w:rsidRPr="003E4B53" w:rsidRDefault="003E4B53" w:rsidP="003E4B53">
            <w:pPr>
              <w:jc w:val="both"/>
            </w:pPr>
            <w:r w:rsidRPr="003E4B53">
              <w:t>Réduits</w:t>
            </w:r>
          </w:p>
        </w:tc>
        <w:tc>
          <w:tcPr>
            <w:tcW w:w="1686" w:type="dxa"/>
            <w:noWrap/>
            <w:hideMark/>
          </w:tcPr>
          <w:p w:rsidR="003E4B53" w:rsidRPr="003E4B53" w:rsidRDefault="003E4B53" w:rsidP="003E4B53">
            <w:pPr>
              <w:ind w:left="360"/>
              <w:jc w:val="both"/>
              <w:cnfStyle w:val="000000000000" w:firstRow="0" w:lastRow="0" w:firstColumn="0" w:lastColumn="0" w:oddVBand="0" w:evenVBand="0" w:oddHBand="0" w:evenHBand="0" w:firstRowFirstColumn="0" w:firstRowLastColumn="0" w:lastRowFirstColumn="0" w:lastRowLastColumn="0"/>
            </w:pPr>
            <w:r w:rsidRPr="003E4B53">
              <w:t>0,0097</w:t>
            </w:r>
          </w:p>
        </w:tc>
        <w:tc>
          <w:tcPr>
            <w:tcW w:w="1701" w:type="dxa"/>
            <w:noWrap/>
            <w:hideMark/>
          </w:tcPr>
          <w:p w:rsidR="003E4B53" w:rsidRPr="003E4B53" w:rsidRDefault="003E4B53" w:rsidP="003E4B53">
            <w:pPr>
              <w:ind w:left="360"/>
              <w:jc w:val="both"/>
              <w:cnfStyle w:val="000000000000" w:firstRow="0" w:lastRow="0" w:firstColumn="0" w:lastColumn="0" w:oddVBand="0" w:evenVBand="0" w:oddHBand="0" w:evenHBand="0" w:firstRowFirstColumn="0" w:firstRowLastColumn="0" w:lastRowFirstColumn="0" w:lastRowLastColumn="0"/>
            </w:pPr>
            <w:r w:rsidRPr="003E4B53">
              <w:t>0,0237</w:t>
            </w:r>
          </w:p>
        </w:tc>
        <w:tc>
          <w:tcPr>
            <w:tcW w:w="2268" w:type="dxa"/>
            <w:noWrap/>
            <w:hideMark/>
          </w:tcPr>
          <w:p w:rsidR="003E4B53" w:rsidRPr="003E4B53" w:rsidRDefault="003E4B53" w:rsidP="003E4B53">
            <w:pPr>
              <w:ind w:left="360"/>
              <w:jc w:val="both"/>
              <w:cnfStyle w:val="000000000000" w:firstRow="0" w:lastRow="0" w:firstColumn="0" w:lastColumn="0" w:oddVBand="0" w:evenVBand="0" w:oddHBand="0" w:evenHBand="0" w:firstRowFirstColumn="0" w:firstRowLastColumn="0" w:lastRowFirstColumn="0" w:lastRowLastColumn="0"/>
            </w:pPr>
            <w:r w:rsidRPr="003E4B53">
              <w:t>0,0089</w:t>
            </w:r>
          </w:p>
        </w:tc>
        <w:tc>
          <w:tcPr>
            <w:tcW w:w="2126" w:type="dxa"/>
            <w:noWrap/>
            <w:hideMark/>
          </w:tcPr>
          <w:p w:rsidR="003E4B53" w:rsidRPr="003E4B53" w:rsidRDefault="003E4B53" w:rsidP="003E4B53">
            <w:pPr>
              <w:ind w:left="360"/>
              <w:jc w:val="both"/>
              <w:cnfStyle w:val="000000000000" w:firstRow="0" w:lastRow="0" w:firstColumn="0" w:lastColumn="0" w:oddVBand="0" w:evenVBand="0" w:oddHBand="0" w:evenHBand="0" w:firstRowFirstColumn="0" w:firstRowLastColumn="0" w:lastRowFirstColumn="0" w:lastRowLastColumn="0"/>
            </w:pPr>
            <w:r w:rsidRPr="003E4B53">
              <w:t>0,0256</w:t>
            </w:r>
          </w:p>
        </w:tc>
      </w:tr>
      <w:tr w:rsidR="003E4B53" w:rsidRPr="003E4B53" w:rsidTr="000D06C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3E4B53" w:rsidRPr="003E4B53" w:rsidRDefault="003E4B53" w:rsidP="003E4B53">
            <w:pPr>
              <w:jc w:val="both"/>
            </w:pPr>
            <w:r w:rsidRPr="003E4B53">
              <w:t>Confirmés</w:t>
            </w:r>
          </w:p>
        </w:tc>
        <w:tc>
          <w:tcPr>
            <w:tcW w:w="1686"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0,0053</w:t>
            </w:r>
          </w:p>
        </w:tc>
        <w:tc>
          <w:tcPr>
            <w:tcW w:w="1701"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-0,0055</w:t>
            </w:r>
          </w:p>
        </w:tc>
        <w:tc>
          <w:tcPr>
            <w:tcW w:w="2268"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0,0036</w:t>
            </w:r>
          </w:p>
        </w:tc>
        <w:tc>
          <w:tcPr>
            <w:tcW w:w="2126" w:type="dxa"/>
            <w:noWrap/>
            <w:hideMark/>
          </w:tcPr>
          <w:p w:rsidR="003E4B53" w:rsidRPr="003E4B53" w:rsidRDefault="003E4B53" w:rsidP="003E4B53">
            <w:pPr>
              <w:ind w:left="360"/>
              <w:jc w:val="both"/>
              <w:cnfStyle w:val="000000100000" w:firstRow="0" w:lastRow="0" w:firstColumn="0" w:lastColumn="0" w:oddVBand="0" w:evenVBand="0" w:oddHBand="1" w:evenHBand="0" w:firstRowFirstColumn="0" w:firstRowLastColumn="0" w:lastRowFirstColumn="0" w:lastRowLastColumn="0"/>
            </w:pPr>
            <w:r w:rsidRPr="003E4B53">
              <w:t>0,0025</w:t>
            </w:r>
          </w:p>
        </w:tc>
      </w:tr>
    </w:tbl>
    <w:p w:rsidR="001D7D71" w:rsidRDefault="001D7D71" w:rsidP="001D7D71">
      <w:pPr>
        <w:jc w:val="both"/>
        <w:rPr>
          <w:sz w:val="26"/>
          <w:szCs w:val="26"/>
          <w:u w:val="single"/>
        </w:rPr>
      </w:pPr>
    </w:p>
    <w:p w:rsidR="001D7D71" w:rsidRDefault="001D7D71" w:rsidP="001D7D71">
      <w:pPr>
        <w:ind w:left="426"/>
        <w:jc w:val="both"/>
        <w:rPr>
          <w:sz w:val="26"/>
          <w:szCs w:val="26"/>
        </w:rPr>
      </w:pPr>
      <w:r>
        <w:rPr>
          <w:sz w:val="26"/>
          <w:szCs w:val="26"/>
        </w:rPr>
        <w:t xml:space="preserve">Pour les annonces s’étant opérées après le 27 mars, nous avançons que l’effet de surprise n’est plus présent et que les déclarations d’instances nationales et supranationales </w:t>
      </w:r>
      <w:r w:rsidR="008F1863">
        <w:rPr>
          <w:sz w:val="26"/>
          <w:szCs w:val="26"/>
        </w:rPr>
        <w:t xml:space="preserve">ont </w:t>
      </w:r>
      <w:r w:rsidR="00F91AD0">
        <w:rPr>
          <w:sz w:val="26"/>
          <w:szCs w:val="26"/>
        </w:rPr>
        <w:t>entraî</w:t>
      </w:r>
      <w:r w:rsidR="00BB3B5D">
        <w:rPr>
          <w:sz w:val="26"/>
          <w:szCs w:val="26"/>
        </w:rPr>
        <w:t>n</w:t>
      </w:r>
      <w:r w:rsidR="008F1863">
        <w:rPr>
          <w:sz w:val="26"/>
          <w:szCs w:val="26"/>
        </w:rPr>
        <w:t>é</w:t>
      </w:r>
      <w:r w:rsidR="00F91AD0">
        <w:rPr>
          <w:sz w:val="26"/>
          <w:szCs w:val="26"/>
        </w:rPr>
        <w:t xml:space="preserve"> une anticipation des investisseurs quant aux </w:t>
      </w:r>
      <w:r w:rsidR="00BB3B5D">
        <w:rPr>
          <w:sz w:val="26"/>
          <w:szCs w:val="26"/>
        </w:rPr>
        <w:t xml:space="preserve">modifications substantielles dans la politique de distribution des dividendes. Si, avant le 27 mars, c’étaient les annulations et les réductions qui pouvaient surprendre les marchés, après cette date, le maintien d’un certain niveau de rémunération – réductions et confirmations - pour les actionnaires pourrait revêtir un caractère surprenant. </w:t>
      </w:r>
      <w:r w:rsidR="004D550D">
        <w:rPr>
          <w:sz w:val="26"/>
          <w:szCs w:val="26"/>
        </w:rPr>
        <w:t>Dans cette logique, les effets moye</w:t>
      </w:r>
      <w:r w:rsidR="00185B03">
        <w:rPr>
          <w:sz w:val="26"/>
          <w:szCs w:val="26"/>
        </w:rPr>
        <w:t>ns constatés tendent à mettre en lumière</w:t>
      </w:r>
      <w:r w:rsidR="004D550D">
        <w:rPr>
          <w:sz w:val="26"/>
          <w:szCs w:val="26"/>
        </w:rPr>
        <w:t xml:space="preserve"> trois éléments :</w:t>
      </w:r>
    </w:p>
    <w:p w:rsidR="0009664A" w:rsidRDefault="0009664A" w:rsidP="0009664A">
      <w:pPr>
        <w:pStyle w:val="Paragraphedeliste"/>
        <w:numPr>
          <w:ilvl w:val="0"/>
          <w:numId w:val="2"/>
        </w:numPr>
        <w:jc w:val="both"/>
        <w:rPr>
          <w:sz w:val="26"/>
          <w:szCs w:val="26"/>
        </w:rPr>
      </w:pPr>
      <w:r>
        <w:rPr>
          <w:sz w:val="26"/>
          <w:szCs w:val="26"/>
        </w:rPr>
        <w:t>L’effet de l’annonce de l’annulation du dividende revêt une connotation négative dans l’esprit des opérateurs financiers mais la perte en valeur boursière est beaucoup moins marquée</w:t>
      </w:r>
      <w:r w:rsidR="00AC2D07">
        <w:rPr>
          <w:sz w:val="26"/>
          <w:szCs w:val="26"/>
        </w:rPr>
        <w:t xml:space="preserve"> que durant la période qui précède</w:t>
      </w:r>
      <w:r>
        <w:rPr>
          <w:sz w:val="26"/>
          <w:szCs w:val="26"/>
        </w:rPr>
        <w:t xml:space="preserve"> le 27 mars</w:t>
      </w:r>
      <w:r w:rsidR="002B456A">
        <w:rPr>
          <w:sz w:val="26"/>
          <w:szCs w:val="26"/>
        </w:rPr>
        <w:t>. En retirant l’annonce de la réduction du dividende versé par SES, l’effet moyen négatif sur une période de cinq jours (avec comparaison avec le marché) demeure supérieur à 15%</w:t>
      </w:r>
      <w:r>
        <w:rPr>
          <w:sz w:val="26"/>
          <w:szCs w:val="26"/>
        </w:rPr>
        <w:t> ;</w:t>
      </w:r>
    </w:p>
    <w:p w:rsidR="0009664A" w:rsidRDefault="00F91AD0" w:rsidP="0009664A">
      <w:pPr>
        <w:pStyle w:val="Paragraphedeliste"/>
        <w:numPr>
          <w:ilvl w:val="0"/>
          <w:numId w:val="2"/>
        </w:numPr>
        <w:jc w:val="both"/>
        <w:rPr>
          <w:sz w:val="26"/>
          <w:szCs w:val="26"/>
        </w:rPr>
      </w:pPr>
      <w:r>
        <w:rPr>
          <w:sz w:val="26"/>
          <w:szCs w:val="26"/>
        </w:rPr>
        <w:t>Après le 27 mars</w:t>
      </w:r>
      <w:r w:rsidR="00E85DDE">
        <w:rPr>
          <w:sz w:val="26"/>
          <w:szCs w:val="26"/>
        </w:rPr>
        <w:t xml:space="preserve"> (et ce constat est également valable pour l’ensemble des annonces, mais il est plus prononcé après cette date)</w:t>
      </w:r>
      <w:r>
        <w:rPr>
          <w:sz w:val="26"/>
          <w:szCs w:val="26"/>
        </w:rPr>
        <w:t>, l</w:t>
      </w:r>
      <w:r w:rsidR="0009664A">
        <w:rPr>
          <w:sz w:val="26"/>
          <w:szCs w:val="26"/>
        </w:rPr>
        <w:t xml:space="preserve">’annonce d’une réduction du dividende est jugée positivement par les marchés qui peuvent penser que l’entreprise </w:t>
      </w:r>
      <w:r w:rsidR="00E2234A">
        <w:rPr>
          <w:sz w:val="26"/>
          <w:szCs w:val="26"/>
        </w:rPr>
        <w:t xml:space="preserve">est </w:t>
      </w:r>
      <w:r w:rsidR="0009664A">
        <w:rPr>
          <w:sz w:val="26"/>
          <w:szCs w:val="26"/>
        </w:rPr>
        <w:t xml:space="preserve">en mesure de gérer </w:t>
      </w:r>
      <w:r w:rsidR="00E2234A">
        <w:rPr>
          <w:sz w:val="26"/>
          <w:szCs w:val="26"/>
        </w:rPr>
        <w:t xml:space="preserve">simultanément </w:t>
      </w:r>
      <w:r w:rsidR="0009664A">
        <w:rPr>
          <w:sz w:val="26"/>
          <w:szCs w:val="26"/>
        </w:rPr>
        <w:t>ses éventuelles difficultés d</w:t>
      </w:r>
      <w:r w:rsidR="00FA3042">
        <w:rPr>
          <w:sz w:val="26"/>
          <w:szCs w:val="26"/>
        </w:rPr>
        <w:t xml:space="preserve">e trésorerie, </w:t>
      </w:r>
      <w:r w:rsidR="0009664A">
        <w:rPr>
          <w:sz w:val="26"/>
          <w:szCs w:val="26"/>
        </w:rPr>
        <w:t xml:space="preserve">de rémunérer </w:t>
      </w:r>
      <w:r w:rsidR="00185B03">
        <w:rPr>
          <w:sz w:val="26"/>
          <w:szCs w:val="26"/>
        </w:rPr>
        <w:t xml:space="preserve">partiellement </w:t>
      </w:r>
      <w:r w:rsidR="0009664A">
        <w:rPr>
          <w:sz w:val="26"/>
          <w:szCs w:val="26"/>
        </w:rPr>
        <w:t>ses actionnaires</w:t>
      </w:r>
      <w:r w:rsidR="00FA3042">
        <w:rPr>
          <w:sz w:val="26"/>
          <w:szCs w:val="26"/>
        </w:rPr>
        <w:t xml:space="preserve"> et d’</w:t>
      </w:r>
      <w:r w:rsidR="00581FA5">
        <w:rPr>
          <w:sz w:val="26"/>
          <w:szCs w:val="26"/>
        </w:rPr>
        <w:t>éventuellement profiter de</w:t>
      </w:r>
      <w:r w:rsidR="00FA3042">
        <w:rPr>
          <w:sz w:val="26"/>
          <w:szCs w:val="26"/>
        </w:rPr>
        <w:t xml:space="preserve"> l’aide de l’Etat</w:t>
      </w:r>
      <w:r w:rsidR="008868E2">
        <w:rPr>
          <w:sz w:val="26"/>
          <w:szCs w:val="26"/>
        </w:rPr>
        <w:t>. Cette solution constituerait donc</w:t>
      </w:r>
      <w:r w:rsidR="00185B03">
        <w:rPr>
          <w:sz w:val="26"/>
          <w:szCs w:val="26"/>
        </w:rPr>
        <w:t>,</w:t>
      </w:r>
      <w:r w:rsidR="008868E2">
        <w:rPr>
          <w:sz w:val="26"/>
          <w:szCs w:val="26"/>
        </w:rPr>
        <w:t xml:space="preserve"> en quelque sorte</w:t>
      </w:r>
      <w:r w:rsidR="00185B03">
        <w:rPr>
          <w:sz w:val="26"/>
          <w:szCs w:val="26"/>
        </w:rPr>
        <w:t>,</w:t>
      </w:r>
      <w:r w:rsidR="008868E2">
        <w:rPr>
          <w:sz w:val="26"/>
          <w:szCs w:val="26"/>
        </w:rPr>
        <w:t xml:space="preserve"> </w:t>
      </w:r>
      <w:r w:rsidR="00AC2D07">
        <w:rPr>
          <w:sz w:val="26"/>
          <w:szCs w:val="26"/>
        </w:rPr>
        <w:t>la moins mauvaise op</w:t>
      </w:r>
      <w:r w:rsidR="008868E2">
        <w:rPr>
          <w:sz w:val="26"/>
          <w:szCs w:val="26"/>
        </w:rPr>
        <w:t>tion</w:t>
      </w:r>
      <w:r w:rsidR="00AC2D07">
        <w:rPr>
          <w:sz w:val="26"/>
          <w:szCs w:val="26"/>
        </w:rPr>
        <w:t xml:space="preserve"> financière</w:t>
      </w:r>
      <w:r w:rsidR="0009664A">
        <w:rPr>
          <w:sz w:val="26"/>
          <w:szCs w:val="26"/>
        </w:rPr>
        <w:t> ;</w:t>
      </w:r>
    </w:p>
    <w:p w:rsidR="002B456A" w:rsidRDefault="0009664A" w:rsidP="005340B4">
      <w:pPr>
        <w:pStyle w:val="Paragraphedeliste"/>
        <w:numPr>
          <w:ilvl w:val="0"/>
          <w:numId w:val="2"/>
        </w:numPr>
        <w:jc w:val="both"/>
        <w:rPr>
          <w:sz w:val="26"/>
          <w:szCs w:val="26"/>
        </w:rPr>
      </w:pPr>
      <w:r w:rsidRPr="002B1948">
        <w:rPr>
          <w:sz w:val="26"/>
          <w:szCs w:val="26"/>
        </w:rPr>
        <w:t>La confirmation</w:t>
      </w:r>
      <w:r w:rsidR="007447B4" w:rsidRPr="002B1948">
        <w:rPr>
          <w:sz w:val="26"/>
          <w:szCs w:val="26"/>
        </w:rPr>
        <w:t>, après le 27 mars,</w:t>
      </w:r>
      <w:r w:rsidRPr="002B1948">
        <w:rPr>
          <w:sz w:val="26"/>
          <w:szCs w:val="26"/>
        </w:rPr>
        <w:t xml:space="preserve"> </w:t>
      </w:r>
      <w:r w:rsidR="007447B4" w:rsidRPr="002B1948">
        <w:rPr>
          <w:sz w:val="26"/>
          <w:szCs w:val="26"/>
        </w:rPr>
        <w:t xml:space="preserve">par les entreprises </w:t>
      </w:r>
      <w:r w:rsidRPr="002B1948">
        <w:rPr>
          <w:sz w:val="26"/>
          <w:szCs w:val="26"/>
        </w:rPr>
        <w:t>du versement du dividende</w:t>
      </w:r>
      <w:r w:rsidR="007447B4" w:rsidRPr="002B1948">
        <w:rPr>
          <w:sz w:val="26"/>
          <w:szCs w:val="26"/>
        </w:rPr>
        <w:t xml:space="preserve"> initialement prévu </w:t>
      </w:r>
      <w:r w:rsidR="00F91AD0" w:rsidRPr="002B1948">
        <w:rPr>
          <w:sz w:val="26"/>
          <w:szCs w:val="26"/>
        </w:rPr>
        <w:t>n’</w:t>
      </w:r>
      <w:r w:rsidRPr="002B1948">
        <w:rPr>
          <w:sz w:val="26"/>
          <w:szCs w:val="26"/>
        </w:rPr>
        <w:t xml:space="preserve">a </w:t>
      </w:r>
      <w:r w:rsidR="00F91AD0" w:rsidRPr="002B1948">
        <w:rPr>
          <w:sz w:val="26"/>
          <w:szCs w:val="26"/>
        </w:rPr>
        <w:t xml:space="preserve">en moyenne </w:t>
      </w:r>
      <w:r w:rsidR="007447B4" w:rsidRPr="002B1948">
        <w:rPr>
          <w:sz w:val="26"/>
          <w:szCs w:val="26"/>
        </w:rPr>
        <w:t xml:space="preserve">eu </w:t>
      </w:r>
      <w:r w:rsidR="00F91AD0" w:rsidRPr="002B1948">
        <w:rPr>
          <w:sz w:val="26"/>
          <w:szCs w:val="26"/>
        </w:rPr>
        <w:t xml:space="preserve">que </w:t>
      </w:r>
      <w:r w:rsidRPr="002B1948">
        <w:rPr>
          <w:sz w:val="26"/>
          <w:szCs w:val="26"/>
        </w:rPr>
        <w:t xml:space="preserve">peu d’effet sur la valeur boursière de l’entreprise. </w:t>
      </w:r>
      <w:r w:rsidR="00F91AD0" w:rsidRPr="002B1948">
        <w:rPr>
          <w:sz w:val="26"/>
          <w:szCs w:val="26"/>
        </w:rPr>
        <w:t>Plusieurs explications : tout d’abord</w:t>
      </w:r>
      <w:r w:rsidR="00E85DDE">
        <w:rPr>
          <w:sz w:val="26"/>
          <w:szCs w:val="26"/>
        </w:rPr>
        <w:t>, les investisseurs pourrai</w:t>
      </w:r>
      <w:r w:rsidRPr="002B1948">
        <w:rPr>
          <w:sz w:val="26"/>
          <w:szCs w:val="26"/>
        </w:rPr>
        <w:t xml:space="preserve">ent assimiler ce maintien à un signal positif sur la </w:t>
      </w:r>
      <w:r w:rsidR="00E5105C">
        <w:rPr>
          <w:sz w:val="26"/>
          <w:szCs w:val="26"/>
        </w:rPr>
        <w:t>(</w:t>
      </w:r>
      <w:r w:rsidRPr="002B1948">
        <w:rPr>
          <w:sz w:val="26"/>
          <w:szCs w:val="26"/>
        </w:rPr>
        <w:t>bonne</w:t>
      </w:r>
      <w:r w:rsidR="00E5105C">
        <w:rPr>
          <w:sz w:val="26"/>
          <w:szCs w:val="26"/>
        </w:rPr>
        <w:t>)</w:t>
      </w:r>
      <w:r w:rsidRPr="002B1948">
        <w:rPr>
          <w:sz w:val="26"/>
          <w:szCs w:val="26"/>
        </w:rPr>
        <w:t xml:space="preserve"> santé financière de l’entreprise.</w:t>
      </w:r>
      <w:r w:rsidR="00F91AD0" w:rsidRPr="002B1948">
        <w:rPr>
          <w:sz w:val="26"/>
          <w:szCs w:val="26"/>
        </w:rPr>
        <w:t xml:space="preserve"> Ensuite</w:t>
      </w:r>
      <w:r w:rsidR="00E85DDE">
        <w:rPr>
          <w:sz w:val="26"/>
          <w:szCs w:val="26"/>
        </w:rPr>
        <w:t>, les opérateurs financiers pourrai</w:t>
      </w:r>
      <w:r w:rsidRPr="002B1948">
        <w:rPr>
          <w:sz w:val="26"/>
          <w:szCs w:val="26"/>
        </w:rPr>
        <w:t xml:space="preserve">ent </w:t>
      </w:r>
      <w:r w:rsidR="00E43DE1" w:rsidRPr="002B1948">
        <w:rPr>
          <w:sz w:val="26"/>
          <w:szCs w:val="26"/>
        </w:rPr>
        <w:t xml:space="preserve">mettre en avant le côté risqué de la décision et </w:t>
      </w:r>
      <w:r w:rsidRPr="002B1948">
        <w:rPr>
          <w:sz w:val="26"/>
          <w:szCs w:val="26"/>
        </w:rPr>
        <w:t>regretter</w:t>
      </w:r>
      <w:r w:rsidR="00E43DE1" w:rsidRPr="002B1948">
        <w:rPr>
          <w:sz w:val="26"/>
          <w:szCs w:val="26"/>
        </w:rPr>
        <w:t xml:space="preserve"> que les entreprises se fassent l’épargne d</w:t>
      </w:r>
      <w:r w:rsidR="00581FA5" w:rsidRPr="002B1948">
        <w:rPr>
          <w:sz w:val="26"/>
          <w:szCs w:val="26"/>
        </w:rPr>
        <w:t>’</w:t>
      </w:r>
      <w:r w:rsidR="00E43DE1" w:rsidRPr="002B1948">
        <w:rPr>
          <w:sz w:val="26"/>
          <w:szCs w:val="26"/>
        </w:rPr>
        <w:t xml:space="preserve">un </w:t>
      </w:r>
      <w:r w:rsidR="00581FA5" w:rsidRPr="002B1948">
        <w:rPr>
          <w:sz w:val="26"/>
          <w:szCs w:val="26"/>
        </w:rPr>
        <w:t>éventuel</w:t>
      </w:r>
      <w:r w:rsidRPr="002B1948">
        <w:rPr>
          <w:sz w:val="26"/>
          <w:szCs w:val="26"/>
        </w:rPr>
        <w:t xml:space="preserve"> souti</w:t>
      </w:r>
      <w:r w:rsidR="00581FA5" w:rsidRPr="002B1948">
        <w:rPr>
          <w:sz w:val="26"/>
          <w:szCs w:val="26"/>
        </w:rPr>
        <w:t>en étatique</w:t>
      </w:r>
      <w:r w:rsidRPr="002B1948">
        <w:rPr>
          <w:sz w:val="26"/>
          <w:szCs w:val="26"/>
        </w:rPr>
        <w:t>.</w:t>
      </w:r>
      <w:r w:rsidR="00F91AD0" w:rsidRPr="002B1948">
        <w:rPr>
          <w:sz w:val="26"/>
          <w:szCs w:val="26"/>
        </w:rPr>
        <w:t xml:space="preserve"> Enfin, l’annulation des di</w:t>
      </w:r>
      <w:r w:rsidR="00E85DDE">
        <w:rPr>
          <w:sz w:val="26"/>
          <w:szCs w:val="26"/>
        </w:rPr>
        <w:t>videndes pourrait</w:t>
      </w:r>
      <w:r w:rsidR="00F91AD0" w:rsidRPr="002B1948">
        <w:rPr>
          <w:sz w:val="26"/>
          <w:szCs w:val="26"/>
        </w:rPr>
        <w:t xml:space="preserve"> être symptomatique de nouveaux paradigmes de fonctionnement pour les marchés. En d’autres termes, il n’y aurait pas de réaction importante parce qu’un grand nombre d’entreprises auraient</w:t>
      </w:r>
      <w:r w:rsidR="00E5105C">
        <w:rPr>
          <w:sz w:val="26"/>
          <w:szCs w:val="26"/>
        </w:rPr>
        <w:t xml:space="preserve"> eu</w:t>
      </w:r>
      <w:r w:rsidR="00F91AD0" w:rsidRPr="002B1948">
        <w:rPr>
          <w:sz w:val="26"/>
          <w:szCs w:val="26"/>
        </w:rPr>
        <w:t xml:space="preserve"> tendance à procéder de la même manière en recourant à des outils financiers similaires.</w:t>
      </w:r>
      <w:r w:rsidR="00F12E13" w:rsidRPr="002B1948">
        <w:rPr>
          <w:sz w:val="26"/>
          <w:szCs w:val="26"/>
        </w:rPr>
        <w:t xml:space="preserve"> </w:t>
      </w:r>
      <w:r w:rsidR="002540A8">
        <w:rPr>
          <w:sz w:val="26"/>
          <w:szCs w:val="26"/>
        </w:rPr>
        <w:t>Nous po</w:t>
      </w:r>
      <w:r w:rsidR="00E85DDE">
        <w:rPr>
          <w:sz w:val="26"/>
          <w:szCs w:val="26"/>
        </w:rPr>
        <w:t>sons que ces différents effets ont tendance à s’annuler.</w:t>
      </w:r>
    </w:p>
    <w:p w:rsidR="007D0255" w:rsidRDefault="007D0255" w:rsidP="007D0255">
      <w:pPr>
        <w:pStyle w:val="Paragraphedeliste"/>
        <w:ind w:left="1146"/>
        <w:jc w:val="both"/>
        <w:rPr>
          <w:sz w:val="26"/>
          <w:szCs w:val="26"/>
        </w:rPr>
      </w:pPr>
    </w:p>
    <w:p w:rsidR="00CA3A16" w:rsidRPr="007D0255" w:rsidRDefault="0031514E" w:rsidP="007D0255">
      <w:pPr>
        <w:pStyle w:val="Paragraphedeliste"/>
        <w:numPr>
          <w:ilvl w:val="1"/>
          <w:numId w:val="1"/>
        </w:numPr>
        <w:jc w:val="both"/>
        <w:rPr>
          <w:sz w:val="26"/>
          <w:szCs w:val="26"/>
          <w:u w:val="single"/>
        </w:rPr>
      </w:pPr>
      <w:r>
        <w:rPr>
          <w:sz w:val="26"/>
          <w:szCs w:val="26"/>
          <w:u w:val="single"/>
        </w:rPr>
        <w:t>Test de comparaison</w:t>
      </w:r>
      <w:r w:rsidR="00CA3A16" w:rsidRPr="007D0255">
        <w:rPr>
          <w:sz w:val="26"/>
          <w:szCs w:val="26"/>
          <w:u w:val="single"/>
        </w:rPr>
        <w:t xml:space="preserve"> de moyenne : ensemble des annonces</w:t>
      </w:r>
    </w:p>
    <w:p w:rsidR="00D93414" w:rsidRDefault="00D93414" w:rsidP="00D93414">
      <w:pPr>
        <w:ind w:left="786"/>
        <w:jc w:val="both"/>
        <w:rPr>
          <w:sz w:val="26"/>
          <w:szCs w:val="26"/>
          <w:u w:val="single"/>
        </w:rPr>
      </w:pPr>
      <w:r>
        <w:rPr>
          <w:sz w:val="26"/>
          <w:szCs w:val="26"/>
        </w:rPr>
        <w:t>A ce niveau, nous mobilisons la méthodologie proposée dans la partie dédicacée à la présentation de celle-ci. Nous nous proposons d’eff</w:t>
      </w:r>
      <w:r w:rsidR="007D0255">
        <w:rPr>
          <w:sz w:val="26"/>
          <w:szCs w:val="26"/>
        </w:rPr>
        <w:t>ectuer un test de comparaison</w:t>
      </w:r>
      <w:r>
        <w:rPr>
          <w:sz w:val="26"/>
          <w:szCs w:val="26"/>
        </w:rPr>
        <w:t xml:space="preserve"> de moyenne dont l’objectif sera d’approcher une éventuelle réaction moyenne différenciée selon deux grandes catégories d’annonces.</w:t>
      </w:r>
      <w:r w:rsidR="00184CD6">
        <w:t xml:space="preserve"> </w:t>
      </w:r>
      <w:r w:rsidR="00184CD6">
        <w:rPr>
          <w:sz w:val="26"/>
          <w:szCs w:val="26"/>
        </w:rPr>
        <w:t>N</w:t>
      </w:r>
      <w:r w:rsidR="00A2218F">
        <w:rPr>
          <w:sz w:val="26"/>
          <w:szCs w:val="26"/>
        </w:rPr>
        <w:t xml:space="preserve">ous considérons, premièrement, </w:t>
      </w:r>
      <w:r w:rsidR="00184CD6" w:rsidRPr="00184CD6">
        <w:rPr>
          <w:sz w:val="26"/>
          <w:szCs w:val="26"/>
        </w:rPr>
        <w:t>toutes les annonces quel que</w:t>
      </w:r>
      <w:r w:rsidR="00184CD6">
        <w:rPr>
          <w:sz w:val="26"/>
          <w:szCs w:val="26"/>
        </w:rPr>
        <w:t xml:space="preserve"> soit le moment de leur an</w:t>
      </w:r>
      <w:r w:rsidR="004A5FDE">
        <w:rPr>
          <w:sz w:val="26"/>
          <w:szCs w:val="26"/>
        </w:rPr>
        <w:t>nonce et donc en faisant abstraction de</w:t>
      </w:r>
      <w:r w:rsidR="00184CD6">
        <w:rPr>
          <w:sz w:val="26"/>
          <w:szCs w:val="26"/>
        </w:rPr>
        <w:t xml:space="preserve"> l’</w:t>
      </w:r>
      <w:r w:rsidR="00FF7C10">
        <w:rPr>
          <w:sz w:val="26"/>
          <w:szCs w:val="26"/>
        </w:rPr>
        <w:t xml:space="preserve">intervention </w:t>
      </w:r>
      <w:r w:rsidR="00184CD6">
        <w:rPr>
          <w:sz w:val="26"/>
          <w:szCs w:val="26"/>
        </w:rPr>
        <w:t>de l’Etat français le 27 mars.</w:t>
      </w:r>
      <w:r w:rsidR="00FF7C10">
        <w:rPr>
          <w:sz w:val="26"/>
          <w:szCs w:val="26"/>
        </w:rPr>
        <w:t xml:space="preserve"> Nous avons réalisé une scission entre les entreprises désireuses de poursuivre – totalement ou partiellement – un p</w:t>
      </w:r>
      <w:r w:rsidR="004A5FDE">
        <w:rPr>
          <w:sz w:val="26"/>
          <w:szCs w:val="26"/>
        </w:rPr>
        <w:t>rocessus de rémunération de</w:t>
      </w:r>
      <w:r w:rsidR="00FF7C10">
        <w:rPr>
          <w:sz w:val="26"/>
          <w:szCs w:val="26"/>
        </w:rPr>
        <w:t>s actionnaires et celles qui ont annulé leurs dividendes.</w:t>
      </w:r>
    </w:p>
    <w:p w:rsidR="00CA3A16" w:rsidRDefault="00D93414" w:rsidP="00CA3A16">
      <w:pPr>
        <w:ind w:left="786"/>
        <w:jc w:val="both"/>
        <w:rPr>
          <w:sz w:val="26"/>
          <w:szCs w:val="26"/>
          <w:u w:val="single"/>
        </w:rPr>
      </w:pPr>
      <w:r>
        <w:rPr>
          <w:sz w:val="26"/>
          <w:szCs w:val="26"/>
          <w:u w:val="single"/>
        </w:rPr>
        <w:t>Tableau 7 : T</w:t>
      </w:r>
      <w:r w:rsidR="002540A8">
        <w:rPr>
          <w:sz w:val="26"/>
          <w:szCs w:val="26"/>
          <w:u w:val="single"/>
        </w:rPr>
        <w:t>est de comparaison</w:t>
      </w:r>
      <w:r w:rsidR="003C58BA" w:rsidRPr="003C58BA">
        <w:rPr>
          <w:sz w:val="26"/>
          <w:szCs w:val="26"/>
          <w:u w:val="single"/>
        </w:rPr>
        <w:t xml:space="preserve"> de moyen</w:t>
      </w:r>
      <w:r>
        <w:rPr>
          <w:sz w:val="26"/>
          <w:szCs w:val="26"/>
          <w:u w:val="single"/>
        </w:rPr>
        <w:t xml:space="preserve">ne : </w:t>
      </w:r>
      <w:r w:rsidR="003C58BA">
        <w:rPr>
          <w:sz w:val="26"/>
          <w:szCs w:val="26"/>
          <w:u w:val="single"/>
        </w:rPr>
        <w:t>ensemble des annonces</w:t>
      </w:r>
    </w:p>
    <w:tbl>
      <w:tblPr>
        <w:tblStyle w:val="Tableausimple1"/>
        <w:tblW w:w="8505" w:type="dxa"/>
        <w:tblInd w:w="846" w:type="dxa"/>
        <w:tblLook w:val="04A0" w:firstRow="1" w:lastRow="0" w:firstColumn="1" w:lastColumn="0" w:noHBand="0" w:noVBand="1"/>
      </w:tblPr>
      <w:tblGrid>
        <w:gridCol w:w="2268"/>
        <w:gridCol w:w="1134"/>
        <w:gridCol w:w="1843"/>
        <w:gridCol w:w="1275"/>
        <w:gridCol w:w="1985"/>
      </w:tblGrid>
      <w:tr w:rsidR="00184CD6" w:rsidRPr="00CA3A16" w:rsidTr="004376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CA3A16" w:rsidRPr="00CA3A16" w:rsidRDefault="00D170B3" w:rsidP="00D170B3">
            <w:pPr>
              <w:jc w:val="both"/>
            </w:pPr>
            <w:r>
              <w:t>Test de différence de moyenne</w:t>
            </w:r>
          </w:p>
        </w:tc>
        <w:tc>
          <w:tcPr>
            <w:tcW w:w="1134" w:type="dxa"/>
            <w:noWrap/>
            <w:hideMark/>
          </w:tcPr>
          <w:p w:rsidR="00CA3A16" w:rsidRPr="00CA3A16" w:rsidRDefault="00CA3A16" w:rsidP="00CA3A16">
            <w:pPr>
              <w:jc w:val="both"/>
              <w:cnfStyle w:val="100000000000" w:firstRow="1" w:lastRow="0" w:firstColumn="0" w:lastColumn="0" w:oddVBand="0" w:evenVBand="0" w:oddHBand="0" w:evenHBand="0" w:firstRowFirstColumn="0" w:firstRowLastColumn="0" w:lastRowFirstColumn="0" w:lastRowLastColumn="0"/>
            </w:pPr>
            <w:r>
              <w:t>(</w:t>
            </w:r>
            <w:r w:rsidRPr="00CA3A16">
              <w:t>t-1;t0</w:t>
            </w:r>
            <w:r>
              <w:t>)</w:t>
            </w:r>
          </w:p>
        </w:tc>
        <w:tc>
          <w:tcPr>
            <w:tcW w:w="1843" w:type="dxa"/>
            <w:noWrap/>
            <w:hideMark/>
          </w:tcPr>
          <w:p w:rsidR="00CA3A16" w:rsidRPr="00CA3A16" w:rsidRDefault="00CA3A16" w:rsidP="00CA3A16">
            <w:pPr>
              <w:jc w:val="both"/>
              <w:cnfStyle w:val="100000000000" w:firstRow="1" w:lastRow="0" w:firstColumn="0" w:lastColumn="0" w:oddVBand="0" w:evenVBand="0" w:oddHBand="0" w:evenHBand="0" w:firstRowFirstColumn="0" w:firstRowLastColumn="0" w:lastRowFirstColumn="0" w:lastRowLastColumn="0"/>
            </w:pPr>
            <w:r>
              <w:t>(</w:t>
            </w:r>
            <w:r w:rsidR="002D36A4">
              <w:t>t-1, t0, SBF</w:t>
            </w:r>
            <w:r>
              <w:t>120</w:t>
            </w:r>
            <w:r w:rsidR="00FF7C10">
              <w:t>)</w:t>
            </w:r>
          </w:p>
        </w:tc>
        <w:tc>
          <w:tcPr>
            <w:tcW w:w="1275" w:type="dxa"/>
            <w:noWrap/>
            <w:hideMark/>
          </w:tcPr>
          <w:p w:rsidR="00CA3A16" w:rsidRPr="00CA3A16" w:rsidRDefault="00CA3A16" w:rsidP="00CA3A16">
            <w:pPr>
              <w:jc w:val="both"/>
              <w:cnfStyle w:val="100000000000" w:firstRow="1" w:lastRow="0" w:firstColumn="0" w:lastColumn="0" w:oddVBand="0" w:evenVBand="0" w:oddHBand="0" w:evenHBand="0" w:firstRowFirstColumn="0" w:firstRowLastColumn="0" w:lastRowFirstColumn="0" w:lastRowLastColumn="0"/>
            </w:pPr>
            <w:r>
              <w:t>(</w:t>
            </w:r>
            <w:r w:rsidRPr="00CA3A16">
              <w:t>t-2;t2</w:t>
            </w:r>
            <w:r>
              <w:t>)</w:t>
            </w:r>
          </w:p>
        </w:tc>
        <w:tc>
          <w:tcPr>
            <w:tcW w:w="1985" w:type="dxa"/>
            <w:noWrap/>
            <w:hideMark/>
          </w:tcPr>
          <w:p w:rsidR="00CA3A16" w:rsidRPr="00CA3A16" w:rsidRDefault="00CA3A16" w:rsidP="00CA3A16">
            <w:pPr>
              <w:jc w:val="both"/>
              <w:cnfStyle w:val="100000000000" w:firstRow="1" w:lastRow="0" w:firstColumn="0" w:lastColumn="0" w:oddVBand="0" w:evenVBand="0" w:oddHBand="0" w:evenHBand="0" w:firstRowFirstColumn="0" w:firstRowLastColumn="0" w:lastRowFirstColumn="0" w:lastRowLastColumn="0"/>
            </w:pPr>
            <w:r>
              <w:t>(</w:t>
            </w:r>
            <w:r w:rsidR="002D36A4">
              <w:t>t-2, t2, SBF</w:t>
            </w:r>
            <w:r>
              <w:t>120)</w:t>
            </w:r>
          </w:p>
        </w:tc>
      </w:tr>
      <w:tr w:rsidR="00184CD6" w:rsidRPr="00CA3A16" w:rsidTr="00437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CA3A16" w:rsidRPr="00CA3A16" w:rsidRDefault="00CA3A16" w:rsidP="00CA3A16">
            <w:pPr>
              <w:jc w:val="both"/>
            </w:pPr>
            <w:r>
              <w:t>Moyenne 1</w:t>
            </w:r>
            <w:r w:rsidRPr="00CA3A16">
              <w:t xml:space="preserve"> : annulés</w:t>
            </w:r>
          </w:p>
        </w:tc>
        <w:tc>
          <w:tcPr>
            <w:tcW w:w="1134"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t>-0,0111</w:t>
            </w:r>
          </w:p>
        </w:tc>
        <w:tc>
          <w:tcPr>
            <w:tcW w:w="1843"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t>-0,0112</w:t>
            </w:r>
          </w:p>
        </w:tc>
        <w:tc>
          <w:tcPr>
            <w:tcW w:w="1275"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t>-0,0149</w:t>
            </w:r>
          </w:p>
        </w:tc>
        <w:tc>
          <w:tcPr>
            <w:tcW w:w="1985" w:type="dxa"/>
            <w:noWrap/>
            <w:vAlign w:val="center"/>
            <w:hideMark/>
          </w:tcPr>
          <w:p w:rsidR="00CA3A16" w:rsidRPr="00CA3A16" w:rsidRDefault="009B3C8B" w:rsidP="00184CD6">
            <w:pPr>
              <w:cnfStyle w:val="000000100000" w:firstRow="0" w:lastRow="0" w:firstColumn="0" w:lastColumn="0" w:oddVBand="0" w:evenVBand="0" w:oddHBand="1" w:evenHBand="0" w:firstRowFirstColumn="0" w:firstRowLastColumn="0" w:lastRowFirstColumn="0" w:lastRowLastColumn="0"/>
            </w:pPr>
            <w:r>
              <w:t>-0,031</w:t>
            </w:r>
          </w:p>
        </w:tc>
      </w:tr>
      <w:tr w:rsidR="00184CD6" w:rsidRPr="00CA3A16" w:rsidTr="0043768D">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CA3A16" w:rsidRPr="00CA3A16" w:rsidRDefault="00CA3A16" w:rsidP="00CA3A16">
            <w:pPr>
              <w:jc w:val="both"/>
            </w:pPr>
            <w:r>
              <w:t xml:space="preserve">Moyenne </w:t>
            </w:r>
            <w:r w:rsidRPr="00CA3A16">
              <w:t xml:space="preserve">2 : réduits </w:t>
            </w:r>
            <w:r w:rsidR="00C47123">
              <w:t xml:space="preserve">et </w:t>
            </w:r>
            <w:r w:rsidRPr="00CA3A16">
              <w:t>confirmés</w:t>
            </w:r>
          </w:p>
        </w:tc>
        <w:tc>
          <w:tcPr>
            <w:tcW w:w="1134" w:type="dxa"/>
            <w:noWrap/>
            <w:vAlign w:val="center"/>
            <w:hideMark/>
          </w:tcPr>
          <w:p w:rsidR="00CA3A16" w:rsidRPr="00CA3A16" w:rsidRDefault="00CA3A16" w:rsidP="00184CD6">
            <w:pPr>
              <w:cnfStyle w:val="000000000000" w:firstRow="0" w:lastRow="0" w:firstColumn="0" w:lastColumn="0" w:oddVBand="0" w:evenVBand="0" w:oddHBand="0" w:evenHBand="0" w:firstRowFirstColumn="0" w:firstRowLastColumn="0" w:lastRowFirstColumn="0" w:lastRowLastColumn="0"/>
            </w:pPr>
            <w:r>
              <w:t>-0,002</w:t>
            </w:r>
          </w:p>
        </w:tc>
        <w:tc>
          <w:tcPr>
            <w:tcW w:w="1843" w:type="dxa"/>
            <w:noWrap/>
            <w:vAlign w:val="center"/>
            <w:hideMark/>
          </w:tcPr>
          <w:p w:rsidR="00CA3A16" w:rsidRPr="00CA3A16" w:rsidRDefault="00CA3A16" w:rsidP="00184CD6">
            <w:pPr>
              <w:cnfStyle w:val="000000000000" w:firstRow="0" w:lastRow="0" w:firstColumn="0" w:lastColumn="0" w:oddVBand="0" w:evenVBand="0" w:oddHBand="0" w:evenHBand="0" w:firstRowFirstColumn="0" w:firstRowLastColumn="0" w:lastRowFirstColumn="0" w:lastRowLastColumn="0"/>
            </w:pPr>
            <w:r w:rsidRPr="00CA3A16">
              <w:t>-5,7284E-06</w:t>
            </w:r>
          </w:p>
        </w:tc>
        <w:tc>
          <w:tcPr>
            <w:tcW w:w="1275" w:type="dxa"/>
            <w:noWrap/>
            <w:vAlign w:val="center"/>
            <w:hideMark/>
          </w:tcPr>
          <w:p w:rsidR="00CA3A16" w:rsidRPr="00CA3A16" w:rsidRDefault="00CA3A16" w:rsidP="00CA3A16">
            <w:pPr>
              <w:cnfStyle w:val="000000000000" w:firstRow="0" w:lastRow="0" w:firstColumn="0" w:lastColumn="0" w:oddVBand="0" w:evenVBand="0" w:oddHBand="0" w:evenHBand="0" w:firstRowFirstColumn="0" w:firstRowLastColumn="0" w:lastRowFirstColumn="0" w:lastRowLastColumn="0"/>
            </w:pPr>
            <w:r w:rsidRPr="00CA3A16">
              <w:t>0,0032</w:t>
            </w:r>
          </w:p>
        </w:tc>
        <w:tc>
          <w:tcPr>
            <w:tcW w:w="1985" w:type="dxa"/>
            <w:noWrap/>
            <w:vAlign w:val="center"/>
            <w:hideMark/>
          </w:tcPr>
          <w:p w:rsidR="00CA3A16" w:rsidRPr="00CA3A16" w:rsidRDefault="00CA3A16" w:rsidP="00184CD6">
            <w:pPr>
              <w:cnfStyle w:val="000000000000" w:firstRow="0" w:lastRow="0" w:firstColumn="0" w:lastColumn="0" w:oddVBand="0" w:evenVBand="0" w:oddHBand="0" w:evenHBand="0" w:firstRowFirstColumn="0" w:firstRowLastColumn="0" w:lastRowFirstColumn="0" w:lastRowLastColumn="0"/>
            </w:pPr>
            <w:r>
              <w:t>0,0114</w:t>
            </w:r>
          </w:p>
        </w:tc>
      </w:tr>
      <w:tr w:rsidR="00184CD6" w:rsidRPr="00CA3A16" w:rsidTr="00437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CA3A16" w:rsidRPr="00CA3A16" w:rsidRDefault="00CA3A16" w:rsidP="00CA3A16">
            <w:pPr>
              <w:jc w:val="both"/>
            </w:pPr>
            <w:r w:rsidRPr="00CA3A16">
              <w:t>n1</w:t>
            </w:r>
          </w:p>
        </w:tc>
        <w:tc>
          <w:tcPr>
            <w:tcW w:w="1134"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rsidRPr="00CA3A16">
              <w:t>54</w:t>
            </w:r>
          </w:p>
        </w:tc>
        <w:tc>
          <w:tcPr>
            <w:tcW w:w="1843"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rsidRPr="00CA3A16">
              <w:t>54</w:t>
            </w:r>
          </w:p>
        </w:tc>
        <w:tc>
          <w:tcPr>
            <w:tcW w:w="1275"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rsidRPr="00CA3A16">
              <w:t>54</w:t>
            </w:r>
          </w:p>
        </w:tc>
        <w:tc>
          <w:tcPr>
            <w:tcW w:w="1985"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rsidRPr="00CA3A16">
              <w:t>54</w:t>
            </w:r>
          </w:p>
        </w:tc>
      </w:tr>
      <w:tr w:rsidR="00184CD6" w:rsidRPr="00CA3A16" w:rsidTr="0043768D">
        <w:trPr>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CA3A16" w:rsidRPr="00CA3A16" w:rsidRDefault="00CA3A16" w:rsidP="00CA3A16">
            <w:pPr>
              <w:jc w:val="both"/>
            </w:pPr>
            <w:r w:rsidRPr="00CA3A16">
              <w:t>n2</w:t>
            </w:r>
          </w:p>
        </w:tc>
        <w:tc>
          <w:tcPr>
            <w:tcW w:w="1134" w:type="dxa"/>
            <w:noWrap/>
            <w:vAlign w:val="center"/>
            <w:hideMark/>
          </w:tcPr>
          <w:p w:rsidR="00CA3A16" w:rsidRPr="00CA3A16" w:rsidRDefault="00CA3A16" w:rsidP="00184CD6">
            <w:pPr>
              <w:cnfStyle w:val="000000000000" w:firstRow="0" w:lastRow="0" w:firstColumn="0" w:lastColumn="0" w:oddVBand="0" w:evenVBand="0" w:oddHBand="0" w:evenHBand="0" w:firstRowFirstColumn="0" w:firstRowLastColumn="0" w:lastRowFirstColumn="0" w:lastRowLastColumn="0"/>
            </w:pPr>
            <w:r w:rsidRPr="00CA3A16">
              <w:t>52</w:t>
            </w:r>
          </w:p>
        </w:tc>
        <w:tc>
          <w:tcPr>
            <w:tcW w:w="1843" w:type="dxa"/>
            <w:noWrap/>
            <w:vAlign w:val="center"/>
            <w:hideMark/>
          </w:tcPr>
          <w:p w:rsidR="00CA3A16" w:rsidRPr="00CA3A16" w:rsidRDefault="00CA3A16" w:rsidP="00184CD6">
            <w:pPr>
              <w:cnfStyle w:val="000000000000" w:firstRow="0" w:lastRow="0" w:firstColumn="0" w:lastColumn="0" w:oddVBand="0" w:evenVBand="0" w:oddHBand="0" w:evenHBand="0" w:firstRowFirstColumn="0" w:firstRowLastColumn="0" w:lastRowFirstColumn="0" w:lastRowLastColumn="0"/>
            </w:pPr>
            <w:r w:rsidRPr="00CA3A16">
              <w:t>52</w:t>
            </w:r>
          </w:p>
        </w:tc>
        <w:tc>
          <w:tcPr>
            <w:tcW w:w="1275" w:type="dxa"/>
            <w:noWrap/>
            <w:vAlign w:val="center"/>
            <w:hideMark/>
          </w:tcPr>
          <w:p w:rsidR="00CA3A16" w:rsidRPr="00CA3A16" w:rsidRDefault="00CA3A16" w:rsidP="00184CD6">
            <w:pPr>
              <w:cnfStyle w:val="000000000000" w:firstRow="0" w:lastRow="0" w:firstColumn="0" w:lastColumn="0" w:oddVBand="0" w:evenVBand="0" w:oddHBand="0" w:evenHBand="0" w:firstRowFirstColumn="0" w:firstRowLastColumn="0" w:lastRowFirstColumn="0" w:lastRowLastColumn="0"/>
            </w:pPr>
            <w:r w:rsidRPr="00CA3A16">
              <w:t>52</w:t>
            </w:r>
          </w:p>
        </w:tc>
        <w:tc>
          <w:tcPr>
            <w:tcW w:w="1985" w:type="dxa"/>
            <w:noWrap/>
            <w:vAlign w:val="center"/>
            <w:hideMark/>
          </w:tcPr>
          <w:p w:rsidR="00CA3A16" w:rsidRPr="00CA3A16" w:rsidRDefault="00CA3A16" w:rsidP="00184CD6">
            <w:pPr>
              <w:cnfStyle w:val="000000000000" w:firstRow="0" w:lastRow="0" w:firstColumn="0" w:lastColumn="0" w:oddVBand="0" w:evenVBand="0" w:oddHBand="0" w:evenHBand="0" w:firstRowFirstColumn="0" w:firstRowLastColumn="0" w:lastRowFirstColumn="0" w:lastRowLastColumn="0"/>
            </w:pPr>
            <w:r w:rsidRPr="00CA3A16">
              <w:t>52</w:t>
            </w:r>
          </w:p>
        </w:tc>
      </w:tr>
      <w:tr w:rsidR="00184CD6" w:rsidRPr="00CA3A16" w:rsidTr="00437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8" w:type="dxa"/>
            <w:noWrap/>
            <w:hideMark/>
          </w:tcPr>
          <w:p w:rsidR="00CA3A16" w:rsidRPr="00CA3A16" w:rsidRDefault="00CA3A16" w:rsidP="00CA3A16">
            <w:pPr>
              <w:jc w:val="both"/>
            </w:pPr>
            <w:r>
              <w:t>Z observé</w:t>
            </w:r>
          </w:p>
        </w:tc>
        <w:tc>
          <w:tcPr>
            <w:tcW w:w="1134" w:type="dxa"/>
            <w:noWrap/>
            <w:vAlign w:val="center"/>
            <w:hideMark/>
          </w:tcPr>
          <w:p w:rsidR="00CA3A16" w:rsidRPr="00CA3A16" w:rsidRDefault="00CA3A16" w:rsidP="00C47123">
            <w:pPr>
              <w:cnfStyle w:val="000000100000" w:firstRow="0" w:lastRow="0" w:firstColumn="0" w:lastColumn="0" w:oddVBand="0" w:evenVBand="0" w:oddHBand="1" w:evenHBand="0" w:firstRowFirstColumn="0" w:firstRowLastColumn="0" w:lastRowFirstColumn="0" w:lastRowLastColumn="0"/>
            </w:pPr>
            <w:r>
              <w:t>-0,823</w:t>
            </w:r>
            <w:r w:rsidR="0043768D">
              <w:t xml:space="preserve"> </w:t>
            </w:r>
          </w:p>
        </w:tc>
        <w:tc>
          <w:tcPr>
            <w:tcW w:w="1843"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t>-1,4431</w:t>
            </w:r>
            <w:r w:rsidR="0043768D">
              <w:t xml:space="preserve"> </w:t>
            </w:r>
          </w:p>
        </w:tc>
        <w:tc>
          <w:tcPr>
            <w:tcW w:w="1275" w:type="dxa"/>
            <w:noWrap/>
            <w:vAlign w:val="center"/>
            <w:hideMark/>
          </w:tcPr>
          <w:p w:rsidR="00CA3A16" w:rsidRPr="00CA3A16" w:rsidRDefault="00CA3A16" w:rsidP="00184CD6">
            <w:pPr>
              <w:cnfStyle w:val="000000100000" w:firstRow="0" w:lastRow="0" w:firstColumn="0" w:lastColumn="0" w:oddVBand="0" w:evenVBand="0" w:oddHBand="1" w:evenHBand="0" w:firstRowFirstColumn="0" w:firstRowLastColumn="0" w:lastRowFirstColumn="0" w:lastRowLastColumn="0"/>
            </w:pPr>
            <w:r>
              <w:t>-0,99</w:t>
            </w:r>
          </w:p>
        </w:tc>
        <w:tc>
          <w:tcPr>
            <w:tcW w:w="1985" w:type="dxa"/>
            <w:noWrap/>
            <w:vAlign w:val="center"/>
            <w:hideMark/>
          </w:tcPr>
          <w:p w:rsidR="00CA3A16" w:rsidRPr="0043768D" w:rsidRDefault="00CA3A16" w:rsidP="00184CD6">
            <w:pPr>
              <w:cnfStyle w:val="000000100000" w:firstRow="0" w:lastRow="0" w:firstColumn="0" w:lastColumn="0" w:oddVBand="0" w:evenVBand="0" w:oddHBand="1" w:evenHBand="0" w:firstRowFirstColumn="0" w:firstRowLastColumn="0" w:lastRowFirstColumn="0" w:lastRowLastColumn="0"/>
              <w:rPr>
                <w:b/>
              </w:rPr>
            </w:pPr>
            <w:r w:rsidRPr="0043768D">
              <w:rPr>
                <w:b/>
              </w:rPr>
              <w:t>-2,588</w:t>
            </w:r>
            <w:r w:rsidR="0043768D" w:rsidRPr="0043768D">
              <w:rPr>
                <w:b/>
              </w:rPr>
              <w:t xml:space="preserve"> </w:t>
            </w:r>
          </w:p>
        </w:tc>
      </w:tr>
      <w:tr w:rsidR="0043768D" w:rsidRPr="00CA3A16" w:rsidTr="0043768D">
        <w:trPr>
          <w:trHeight w:val="300"/>
        </w:trPr>
        <w:tc>
          <w:tcPr>
            <w:cnfStyle w:val="001000000000" w:firstRow="0" w:lastRow="0" w:firstColumn="1" w:lastColumn="0" w:oddVBand="0" w:evenVBand="0" w:oddHBand="0" w:evenHBand="0" w:firstRowFirstColumn="0" w:firstRowLastColumn="0" w:lastRowFirstColumn="0" w:lastRowLastColumn="0"/>
            <w:tcW w:w="2268" w:type="dxa"/>
            <w:noWrap/>
          </w:tcPr>
          <w:p w:rsidR="0043768D" w:rsidRDefault="0043768D" w:rsidP="00CA3A16">
            <w:pPr>
              <w:jc w:val="both"/>
            </w:pPr>
            <w:r>
              <w:t>Seuil de significativité</w:t>
            </w:r>
          </w:p>
        </w:tc>
        <w:tc>
          <w:tcPr>
            <w:tcW w:w="1134" w:type="dxa"/>
            <w:noWrap/>
            <w:vAlign w:val="center"/>
          </w:tcPr>
          <w:p w:rsidR="0043768D" w:rsidRDefault="0043768D" w:rsidP="00C47123">
            <w:pPr>
              <w:cnfStyle w:val="000000000000" w:firstRow="0" w:lastRow="0" w:firstColumn="0" w:lastColumn="0" w:oddVBand="0" w:evenVBand="0" w:oddHBand="0" w:evenHBand="0" w:firstRowFirstColumn="0" w:firstRowLastColumn="0" w:lastRowFirstColumn="0" w:lastRowLastColumn="0"/>
            </w:pPr>
            <w:r>
              <w:t>0,2061</w:t>
            </w:r>
          </w:p>
        </w:tc>
        <w:tc>
          <w:tcPr>
            <w:tcW w:w="1843" w:type="dxa"/>
            <w:noWrap/>
            <w:vAlign w:val="center"/>
          </w:tcPr>
          <w:p w:rsidR="0043768D" w:rsidRDefault="0043768D" w:rsidP="00184CD6">
            <w:pPr>
              <w:cnfStyle w:val="000000000000" w:firstRow="0" w:lastRow="0" w:firstColumn="0" w:lastColumn="0" w:oddVBand="0" w:evenVBand="0" w:oddHBand="0" w:evenHBand="0" w:firstRowFirstColumn="0" w:firstRowLastColumn="0" w:lastRowFirstColumn="0" w:lastRowLastColumn="0"/>
            </w:pPr>
            <w:r>
              <w:t>0,0749</w:t>
            </w:r>
          </w:p>
        </w:tc>
        <w:tc>
          <w:tcPr>
            <w:tcW w:w="1275" w:type="dxa"/>
            <w:noWrap/>
            <w:vAlign w:val="center"/>
          </w:tcPr>
          <w:p w:rsidR="0043768D" w:rsidRDefault="0043768D" w:rsidP="00184CD6">
            <w:pPr>
              <w:cnfStyle w:val="000000000000" w:firstRow="0" w:lastRow="0" w:firstColumn="0" w:lastColumn="0" w:oddVBand="0" w:evenVBand="0" w:oddHBand="0" w:evenHBand="0" w:firstRowFirstColumn="0" w:firstRowLastColumn="0" w:lastRowFirstColumn="0" w:lastRowLastColumn="0"/>
            </w:pPr>
            <w:r>
              <w:t>0,1611</w:t>
            </w:r>
          </w:p>
        </w:tc>
        <w:tc>
          <w:tcPr>
            <w:tcW w:w="1985" w:type="dxa"/>
            <w:noWrap/>
            <w:vAlign w:val="center"/>
          </w:tcPr>
          <w:p w:rsidR="0043768D" w:rsidRPr="0043768D" w:rsidRDefault="0043768D" w:rsidP="00184CD6">
            <w:pPr>
              <w:cnfStyle w:val="000000000000" w:firstRow="0" w:lastRow="0" w:firstColumn="0" w:lastColumn="0" w:oddVBand="0" w:evenVBand="0" w:oddHBand="0" w:evenHBand="0" w:firstRowFirstColumn="0" w:firstRowLastColumn="0" w:lastRowFirstColumn="0" w:lastRowLastColumn="0"/>
              <w:rPr>
                <w:b/>
              </w:rPr>
            </w:pPr>
            <w:r w:rsidRPr="0043768D">
              <w:rPr>
                <w:b/>
              </w:rPr>
              <w:t>0,0048</w:t>
            </w:r>
          </w:p>
        </w:tc>
      </w:tr>
    </w:tbl>
    <w:p w:rsidR="00D93414" w:rsidRDefault="009B3C8B" w:rsidP="009B3C8B">
      <w:pPr>
        <w:ind w:firstLine="708"/>
        <w:jc w:val="both"/>
        <w:rPr>
          <w:sz w:val="26"/>
          <w:szCs w:val="26"/>
        </w:rPr>
      </w:pPr>
      <w:r>
        <w:rPr>
          <w:sz w:val="26"/>
          <w:szCs w:val="26"/>
        </w:rPr>
        <w:t xml:space="preserve"> </w:t>
      </w:r>
    </w:p>
    <w:p w:rsidR="009E07A4" w:rsidRDefault="009B3C8B" w:rsidP="009B3C8B">
      <w:pPr>
        <w:ind w:left="786"/>
        <w:jc w:val="both"/>
        <w:rPr>
          <w:sz w:val="26"/>
          <w:szCs w:val="26"/>
        </w:rPr>
      </w:pPr>
      <w:r>
        <w:rPr>
          <w:sz w:val="26"/>
          <w:szCs w:val="26"/>
        </w:rPr>
        <w:t>Les résultats a</w:t>
      </w:r>
      <w:r w:rsidR="007D0255">
        <w:rPr>
          <w:sz w:val="26"/>
          <w:szCs w:val="26"/>
        </w:rPr>
        <w:t xml:space="preserve">uxquels nous sommes parvenus </w:t>
      </w:r>
      <w:r>
        <w:rPr>
          <w:sz w:val="26"/>
          <w:szCs w:val="26"/>
        </w:rPr>
        <w:t xml:space="preserve">ne montrent une différence statistiquement significative </w:t>
      </w:r>
      <w:r w:rsidR="002540A8">
        <w:rPr>
          <w:sz w:val="26"/>
          <w:szCs w:val="26"/>
        </w:rPr>
        <w:t xml:space="preserve">(hypothèse nulle rejetée) </w:t>
      </w:r>
      <w:r>
        <w:rPr>
          <w:sz w:val="26"/>
          <w:szCs w:val="26"/>
        </w:rPr>
        <w:t>que dans le cas d’une comparaison entre l’annulation des dividendes versus les deux autres possibilités</w:t>
      </w:r>
      <w:r w:rsidR="000F388E">
        <w:rPr>
          <w:sz w:val="26"/>
          <w:szCs w:val="26"/>
        </w:rPr>
        <w:t xml:space="preserve"> avec contrôle par le marché</w:t>
      </w:r>
      <w:r w:rsidR="006A36E5">
        <w:rPr>
          <w:sz w:val="26"/>
          <w:szCs w:val="26"/>
        </w:rPr>
        <w:t>, sur une période événementielle de cinq jours</w:t>
      </w:r>
      <w:r w:rsidR="00AD34B9">
        <w:rPr>
          <w:sz w:val="26"/>
          <w:szCs w:val="26"/>
        </w:rPr>
        <w:t xml:space="preserve"> (même si le résultat obtenu sur la période </w:t>
      </w:r>
      <w:r w:rsidR="009E07A4">
        <w:rPr>
          <w:sz w:val="26"/>
          <w:szCs w:val="26"/>
        </w:rPr>
        <w:t>(</w:t>
      </w:r>
      <w:r w:rsidR="00AD34B9">
        <w:rPr>
          <w:sz w:val="26"/>
          <w:szCs w:val="26"/>
        </w:rPr>
        <w:t>-1,0</w:t>
      </w:r>
      <w:r w:rsidR="009E07A4">
        <w:rPr>
          <w:sz w:val="26"/>
          <w:szCs w:val="26"/>
        </w:rPr>
        <w:t>)</w:t>
      </w:r>
      <w:r w:rsidR="00AD34B9">
        <w:rPr>
          <w:sz w:val="26"/>
          <w:szCs w:val="26"/>
        </w:rPr>
        <w:t xml:space="preserve"> plaide également pour une différence de perception, il n’est pas statistiquement significatif aux seuils généralement utilisés)</w:t>
      </w:r>
      <w:r>
        <w:rPr>
          <w:sz w:val="26"/>
          <w:szCs w:val="26"/>
        </w:rPr>
        <w:t>. Dans ce cas de figure, l’annulation des dividendes a été en moyenne perçue de manière significativement plus négative que les confirmations et les réductions.</w:t>
      </w:r>
      <w:r w:rsidR="00254C5B">
        <w:rPr>
          <w:sz w:val="26"/>
          <w:szCs w:val="26"/>
        </w:rPr>
        <w:t xml:space="preserve"> </w:t>
      </w:r>
      <w:r w:rsidR="009E07A4">
        <w:rPr>
          <w:sz w:val="26"/>
          <w:szCs w:val="26"/>
        </w:rPr>
        <w:t>Il nous est</w:t>
      </w:r>
      <w:r w:rsidR="00E5105C">
        <w:rPr>
          <w:sz w:val="26"/>
          <w:szCs w:val="26"/>
        </w:rPr>
        <w:t xml:space="preserve"> cependant </w:t>
      </w:r>
      <w:r w:rsidR="009E07A4">
        <w:rPr>
          <w:sz w:val="26"/>
          <w:szCs w:val="26"/>
        </w:rPr>
        <w:t>difficile de rejeter l’hypothèse nulle (</w:t>
      </w:r>
      <w:r w:rsidR="009E07A4">
        <w:rPr>
          <w:rFonts w:cstheme="minorHAnsi"/>
          <w:sz w:val="26"/>
          <w:szCs w:val="26"/>
        </w:rPr>
        <w:t>µ</w:t>
      </w:r>
      <w:r w:rsidR="009E07A4">
        <w:rPr>
          <w:sz w:val="26"/>
          <w:szCs w:val="26"/>
        </w:rPr>
        <w:t>1=</w:t>
      </w:r>
      <w:r w:rsidR="009E07A4">
        <w:rPr>
          <w:rFonts w:cstheme="minorHAnsi"/>
          <w:sz w:val="26"/>
          <w:szCs w:val="26"/>
        </w:rPr>
        <w:t>µ</w:t>
      </w:r>
      <w:r w:rsidR="009E07A4">
        <w:rPr>
          <w:sz w:val="26"/>
          <w:szCs w:val="26"/>
        </w:rPr>
        <w:t xml:space="preserve">2) dans la mesure où les résultats statistiques semblent fortement dépendre des périodes événementielles considérées. </w:t>
      </w:r>
    </w:p>
    <w:p w:rsidR="009B3C8B" w:rsidRPr="00CA3A16" w:rsidRDefault="00254C5B" w:rsidP="009B3C8B">
      <w:pPr>
        <w:ind w:left="786"/>
        <w:jc w:val="both"/>
        <w:rPr>
          <w:sz w:val="26"/>
          <w:szCs w:val="26"/>
        </w:rPr>
      </w:pPr>
      <w:r>
        <w:rPr>
          <w:sz w:val="26"/>
          <w:szCs w:val="26"/>
        </w:rPr>
        <w:t xml:space="preserve">En requérant cette façon de procéder, nous partons de l’hypothèse que le contenu informationnel lié aux dividendes ne s’est pas modifié au fil du temps. Ce qui, dans les faits, n’est pas le cas et justifie </w:t>
      </w:r>
      <w:r w:rsidR="00AD34B9">
        <w:rPr>
          <w:sz w:val="26"/>
          <w:szCs w:val="26"/>
        </w:rPr>
        <w:t xml:space="preserve">donc </w:t>
      </w:r>
      <w:r>
        <w:rPr>
          <w:sz w:val="26"/>
          <w:szCs w:val="26"/>
        </w:rPr>
        <w:t>de</w:t>
      </w:r>
      <w:r w:rsidR="006A36E5">
        <w:rPr>
          <w:sz w:val="26"/>
          <w:szCs w:val="26"/>
        </w:rPr>
        <w:t xml:space="preserve"> passer à un test de comparaison</w:t>
      </w:r>
      <w:r>
        <w:rPr>
          <w:sz w:val="26"/>
          <w:szCs w:val="26"/>
        </w:rPr>
        <w:t xml:space="preserve"> de moyennes sur une période durant laquelle les contenus informationnels sont demeurés stables.</w:t>
      </w:r>
      <w:r w:rsidR="009B3C8B">
        <w:rPr>
          <w:sz w:val="26"/>
          <w:szCs w:val="26"/>
        </w:rPr>
        <w:t xml:space="preserve"> </w:t>
      </w:r>
    </w:p>
    <w:p w:rsidR="000C274A" w:rsidRPr="006A36E5" w:rsidRDefault="002540A8" w:rsidP="006A36E5">
      <w:pPr>
        <w:pStyle w:val="Paragraphedeliste"/>
        <w:numPr>
          <w:ilvl w:val="1"/>
          <w:numId w:val="1"/>
        </w:numPr>
        <w:jc w:val="both"/>
        <w:rPr>
          <w:sz w:val="26"/>
          <w:szCs w:val="26"/>
          <w:u w:val="single"/>
        </w:rPr>
      </w:pPr>
      <w:r>
        <w:rPr>
          <w:sz w:val="26"/>
          <w:szCs w:val="26"/>
          <w:u w:val="single"/>
        </w:rPr>
        <w:t>Test de comparaison</w:t>
      </w:r>
      <w:r w:rsidR="000C274A" w:rsidRPr="006A36E5">
        <w:rPr>
          <w:sz w:val="26"/>
          <w:szCs w:val="26"/>
          <w:u w:val="single"/>
        </w:rPr>
        <w:t xml:space="preserve"> de moyenne : effet de surprise versus absence de surprise</w:t>
      </w:r>
      <w:r w:rsidR="008B151E" w:rsidRPr="006A36E5">
        <w:rPr>
          <w:sz w:val="26"/>
          <w:szCs w:val="26"/>
          <w:u w:val="single"/>
        </w:rPr>
        <w:t xml:space="preserve"> sur </w:t>
      </w:r>
      <w:r w:rsidR="001E311F" w:rsidRPr="006A36E5">
        <w:rPr>
          <w:sz w:val="26"/>
          <w:szCs w:val="26"/>
          <w:u w:val="single"/>
        </w:rPr>
        <w:t>la période post 27 mars</w:t>
      </w:r>
    </w:p>
    <w:p w:rsidR="000C274A" w:rsidRDefault="00B32013" w:rsidP="000C274A">
      <w:pPr>
        <w:ind w:left="786"/>
        <w:jc w:val="both"/>
        <w:rPr>
          <w:sz w:val="26"/>
          <w:szCs w:val="26"/>
        </w:rPr>
      </w:pPr>
      <w:r>
        <w:rPr>
          <w:sz w:val="26"/>
          <w:szCs w:val="26"/>
        </w:rPr>
        <w:t>Deuxièmement, e</w:t>
      </w:r>
      <w:r w:rsidR="00D93414">
        <w:rPr>
          <w:sz w:val="26"/>
          <w:szCs w:val="26"/>
        </w:rPr>
        <w:t>n prenant en considération l’environnement institutionnel et les décisions prises par l’Etat français le 27 mars, nous proposons de répliquer la méthodologie reprise ci-dessus mais en effectuant une distinction temporelle en fonction du moment de l’annonce. En effet, c</w:t>
      </w:r>
      <w:r w:rsidR="000C274A">
        <w:rPr>
          <w:sz w:val="26"/>
          <w:szCs w:val="26"/>
        </w:rPr>
        <w:t>omme nous l’avons déjà préalablement avancé, l’a</w:t>
      </w:r>
      <w:r w:rsidR="00E5105C">
        <w:rPr>
          <w:sz w:val="26"/>
          <w:szCs w:val="26"/>
        </w:rPr>
        <w:t>nnonce d’une réduction ou</w:t>
      </w:r>
      <w:r w:rsidR="000C274A">
        <w:rPr>
          <w:sz w:val="26"/>
          <w:szCs w:val="26"/>
        </w:rPr>
        <w:t xml:space="preserve"> de l’annulation des dividendes avant le 27 mars correspond</w:t>
      </w:r>
      <w:r w:rsidR="00E5105C">
        <w:rPr>
          <w:sz w:val="26"/>
          <w:szCs w:val="26"/>
        </w:rPr>
        <w:t>ait</w:t>
      </w:r>
      <w:r w:rsidR="000C274A">
        <w:rPr>
          <w:sz w:val="26"/>
          <w:szCs w:val="26"/>
        </w:rPr>
        <w:t xml:space="preserve"> à une décision </w:t>
      </w:r>
      <w:r w:rsidR="005C66F4">
        <w:rPr>
          <w:sz w:val="26"/>
          <w:szCs w:val="26"/>
        </w:rPr>
        <w:t xml:space="preserve">à contenu informationnel lourd de sens </w:t>
      </w:r>
      <w:r w:rsidR="000C274A">
        <w:rPr>
          <w:sz w:val="26"/>
          <w:szCs w:val="26"/>
        </w:rPr>
        <w:t xml:space="preserve">qui n’avait pas nécessairement été anticipée par les marchés. Par contre, après cette date, </w:t>
      </w:r>
      <w:r w:rsidR="005D7BD7">
        <w:rPr>
          <w:sz w:val="26"/>
          <w:szCs w:val="26"/>
        </w:rPr>
        <w:t xml:space="preserve">l’annulation des dividendes </w:t>
      </w:r>
      <w:r w:rsidR="000C274A">
        <w:rPr>
          <w:sz w:val="26"/>
          <w:szCs w:val="26"/>
        </w:rPr>
        <w:t xml:space="preserve">a pu être ressentie comme une pratique normale </w:t>
      </w:r>
      <w:r w:rsidR="005D7BD7">
        <w:rPr>
          <w:sz w:val="26"/>
          <w:szCs w:val="26"/>
        </w:rPr>
        <w:t xml:space="preserve">– une sorte de non-événement </w:t>
      </w:r>
      <w:r w:rsidR="00A16434">
        <w:rPr>
          <w:sz w:val="26"/>
          <w:szCs w:val="26"/>
        </w:rPr>
        <w:t>–</w:t>
      </w:r>
      <w:r w:rsidR="005D7BD7">
        <w:rPr>
          <w:sz w:val="26"/>
          <w:szCs w:val="26"/>
        </w:rPr>
        <w:t xml:space="preserve"> </w:t>
      </w:r>
      <w:r w:rsidR="00A16434">
        <w:rPr>
          <w:sz w:val="26"/>
          <w:szCs w:val="26"/>
        </w:rPr>
        <w:t xml:space="preserve">car </w:t>
      </w:r>
      <w:r w:rsidR="000C274A">
        <w:rPr>
          <w:sz w:val="26"/>
          <w:szCs w:val="26"/>
        </w:rPr>
        <w:t>impulsée par l’Etat français et des structures supran</w:t>
      </w:r>
      <w:r w:rsidR="005D7BD7">
        <w:rPr>
          <w:sz w:val="26"/>
          <w:szCs w:val="26"/>
        </w:rPr>
        <w:t>ationales (pour le secteur bancaire).</w:t>
      </w:r>
      <w:r w:rsidR="000C274A">
        <w:rPr>
          <w:sz w:val="26"/>
          <w:szCs w:val="26"/>
        </w:rPr>
        <w:t xml:space="preserve"> </w:t>
      </w:r>
      <w:r w:rsidR="005C66F4">
        <w:rPr>
          <w:sz w:val="26"/>
          <w:szCs w:val="26"/>
        </w:rPr>
        <w:t xml:space="preserve">Au final, l’objectif est donc de comparer la réaction moyenne des marchés suite à l’annonce d’une surprise pour les marchés – le maintien ou la réduction des dividendes -  à celle suite à l’annonce de l’annulation des dividendes (pas de surprise). Si le premier type d’annonces pourraient être assimilées à une </w:t>
      </w:r>
      <w:r w:rsidR="001D50E7">
        <w:rPr>
          <w:sz w:val="26"/>
          <w:szCs w:val="26"/>
        </w:rPr>
        <w:t>« </w:t>
      </w:r>
      <w:r w:rsidR="005C66F4">
        <w:rPr>
          <w:sz w:val="26"/>
          <w:szCs w:val="26"/>
        </w:rPr>
        <w:t>bonne</w:t>
      </w:r>
      <w:r w:rsidR="001D50E7">
        <w:rPr>
          <w:sz w:val="26"/>
          <w:szCs w:val="26"/>
        </w:rPr>
        <w:t> »</w:t>
      </w:r>
      <w:r w:rsidR="005C66F4">
        <w:rPr>
          <w:sz w:val="26"/>
          <w:szCs w:val="26"/>
        </w:rPr>
        <w:t xml:space="preserve"> surprise à court terme pour les actionnaires, les effets positifs sur la richesse actionnariale pourraient être compensés par une prise de risque pouvant mettre à mal, à terme, les équilibres financiers de l’entreprise.</w:t>
      </w:r>
      <w:r w:rsidR="001D50E7">
        <w:rPr>
          <w:sz w:val="26"/>
          <w:szCs w:val="26"/>
        </w:rPr>
        <w:t xml:space="preserve"> Pour l’annulation des dividendes, et même s’il y a destruction du lien de confiance entre les actionnaires et l’entreprise, la vision prudentielle retenue pourrait être assimilée, par les marchés, à une gestion financière vertueuse.</w:t>
      </w:r>
      <w:r w:rsidR="003F38FC">
        <w:rPr>
          <w:sz w:val="26"/>
          <w:szCs w:val="26"/>
        </w:rPr>
        <w:t xml:space="preserve"> Pour la mise en œuvre de cette méthodologie, nous n’avons pris en considération que les annonces post 27 mars (95 observations).</w:t>
      </w:r>
    </w:p>
    <w:p w:rsidR="00DC1D35" w:rsidRPr="00DC1D35" w:rsidRDefault="00DC1D35" w:rsidP="000C274A">
      <w:pPr>
        <w:ind w:left="786"/>
        <w:jc w:val="both"/>
        <w:rPr>
          <w:sz w:val="26"/>
          <w:szCs w:val="26"/>
          <w:u w:val="single"/>
        </w:rPr>
      </w:pPr>
      <w:r w:rsidRPr="00DC1D35">
        <w:rPr>
          <w:sz w:val="26"/>
          <w:szCs w:val="26"/>
          <w:u w:val="single"/>
        </w:rPr>
        <w:t>T</w:t>
      </w:r>
      <w:r w:rsidR="00D93414">
        <w:rPr>
          <w:sz w:val="26"/>
          <w:szCs w:val="26"/>
          <w:u w:val="single"/>
        </w:rPr>
        <w:t>ableau 8</w:t>
      </w:r>
      <w:r w:rsidR="00AD34B9">
        <w:rPr>
          <w:sz w:val="26"/>
          <w:szCs w:val="26"/>
          <w:u w:val="single"/>
        </w:rPr>
        <w:t> : test de comparaison</w:t>
      </w:r>
      <w:r w:rsidRPr="00DC1D35">
        <w:rPr>
          <w:sz w:val="26"/>
          <w:szCs w:val="26"/>
          <w:u w:val="single"/>
        </w:rPr>
        <w:t xml:space="preserve"> de moyenne (</w:t>
      </w:r>
      <w:r w:rsidR="0091194C">
        <w:rPr>
          <w:sz w:val="26"/>
          <w:szCs w:val="26"/>
          <w:u w:val="single"/>
        </w:rPr>
        <w:t>annulations versus réductions et</w:t>
      </w:r>
      <w:bookmarkStart w:id="0" w:name="_GoBack"/>
      <w:bookmarkEnd w:id="0"/>
      <w:r w:rsidRPr="00DC1D35">
        <w:rPr>
          <w:sz w:val="26"/>
          <w:szCs w:val="26"/>
          <w:u w:val="single"/>
        </w:rPr>
        <w:t xml:space="preserve"> confirmations de versements de dividendes</w:t>
      </w:r>
      <w:r w:rsidR="00DF1D2A">
        <w:rPr>
          <w:sz w:val="26"/>
          <w:szCs w:val="26"/>
          <w:u w:val="single"/>
        </w:rPr>
        <w:t>, après le 27 mars</w:t>
      </w:r>
      <w:r w:rsidRPr="00DC1D35">
        <w:rPr>
          <w:sz w:val="26"/>
          <w:szCs w:val="26"/>
          <w:u w:val="single"/>
        </w:rPr>
        <w:t>)</w:t>
      </w:r>
    </w:p>
    <w:tbl>
      <w:tblPr>
        <w:tblStyle w:val="Tableausimple1"/>
        <w:tblW w:w="8221" w:type="dxa"/>
        <w:tblInd w:w="846" w:type="dxa"/>
        <w:tblLook w:val="04A0" w:firstRow="1" w:lastRow="0" w:firstColumn="1" w:lastColumn="0" w:noHBand="0" w:noVBand="1"/>
      </w:tblPr>
      <w:tblGrid>
        <w:gridCol w:w="2604"/>
        <w:gridCol w:w="956"/>
        <w:gridCol w:w="1731"/>
        <w:gridCol w:w="1076"/>
        <w:gridCol w:w="1854"/>
      </w:tblGrid>
      <w:tr w:rsidR="00F33692" w:rsidRPr="00AA29FA" w:rsidTr="004376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4" w:type="dxa"/>
            <w:noWrap/>
            <w:hideMark/>
          </w:tcPr>
          <w:p w:rsidR="00AA29FA" w:rsidRPr="00F33692" w:rsidRDefault="009D046C" w:rsidP="00AA29FA">
            <w:pPr>
              <w:jc w:val="both"/>
            </w:pPr>
            <w:r>
              <w:t>T</w:t>
            </w:r>
            <w:r w:rsidR="00AA29FA" w:rsidRPr="00F33692">
              <w:t>est différence moyenne</w:t>
            </w:r>
          </w:p>
        </w:tc>
        <w:tc>
          <w:tcPr>
            <w:tcW w:w="0" w:type="auto"/>
            <w:noWrap/>
            <w:hideMark/>
          </w:tcPr>
          <w:p w:rsidR="00AA29FA" w:rsidRPr="00F33692" w:rsidRDefault="00AA29FA" w:rsidP="00AA29FA">
            <w:pPr>
              <w:jc w:val="both"/>
              <w:cnfStyle w:val="100000000000" w:firstRow="1" w:lastRow="0" w:firstColumn="0" w:lastColumn="0" w:oddVBand="0" w:evenVBand="0" w:oddHBand="0" w:evenHBand="0" w:firstRowFirstColumn="0" w:firstRowLastColumn="0" w:lastRowFirstColumn="0" w:lastRowLastColumn="0"/>
            </w:pPr>
            <w:r w:rsidRPr="00F33692">
              <w:t>(t-1,t0)</w:t>
            </w:r>
          </w:p>
        </w:tc>
        <w:tc>
          <w:tcPr>
            <w:tcW w:w="1731" w:type="dxa"/>
            <w:noWrap/>
            <w:hideMark/>
          </w:tcPr>
          <w:p w:rsidR="00AA29FA" w:rsidRPr="00F33692" w:rsidRDefault="00AA29FA" w:rsidP="00AA29FA">
            <w:pPr>
              <w:jc w:val="both"/>
              <w:cnfStyle w:val="100000000000" w:firstRow="1" w:lastRow="0" w:firstColumn="0" w:lastColumn="0" w:oddVBand="0" w:evenVBand="0" w:oddHBand="0" w:evenHBand="0" w:firstRowFirstColumn="0" w:firstRowLastColumn="0" w:lastRowFirstColumn="0" w:lastRowLastColumn="0"/>
            </w:pPr>
            <w:r w:rsidRPr="00F33692">
              <w:t>(t-1,t0, SBF120)</w:t>
            </w:r>
          </w:p>
        </w:tc>
        <w:tc>
          <w:tcPr>
            <w:tcW w:w="1076" w:type="dxa"/>
            <w:noWrap/>
            <w:hideMark/>
          </w:tcPr>
          <w:p w:rsidR="00AA29FA" w:rsidRPr="00F33692" w:rsidRDefault="00AA29FA" w:rsidP="00AA29FA">
            <w:pPr>
              <w:jc w:val="both"/>
              <w:cnfStyle w:val="100000000000" w:firstRow="1" w:lastRow="0" w:firstColumn="0" w:lastColumn="0" w:oddVBand="0" w:evenVBand="0" w:oddHBand="0" w:evenHBand="0" w:firstRowFirstColumn="0" w:firstRowLastColumn="0" w:lastRowFirstColumn="0" w:lastRowLastColumn="0"/>
            </w:pPr>
            <w:r w:rsidRPr="00F33692">
              <w:t>(t-2,t+2)</w:t>
            </w:r>
          </w:p>
        </w:tc>
        <w:tc>
          <w:tcPr>
            <w:tcW w:w="1854" w:type="dxa"/>
            <w:noWrap/>
            <w:hideMark/>
          </w:tcPr>
          <w:p w:rsidR="00AA29FA" w:rsidRPr="00F33692" w:rsidRDefault="00AA29FA" w:rsidP="00F33692">
            <w:pPr>
              <w:jc w:val="both"/>
              <w:cnfStyle w:val="100000000000" w:firstRow="1" w:lastRow="0" w:firstColumn="0" w:lastColumn="0" w:oddVBand="0" w:evenVBand="0" w:oddHBand="0" w:evenHBand="0" w:firstRowFirstColumn="0" w:firstRowLastColumn="0" w:lastRowFirstColumn="0" w:lastRowLastColumn="0"/>
            </w:pPr>
            <w:r w:rsidRPr="00F33692">
              <w:t>(t-2,t+2, SBF120)</w:t>
            </w:r>
          </w:p>
        </w:tc>
      </w:tr>
      <w:tr w:rsidR="00F33692" w:rsidRPr="00AA29FA" w:rsidTr="00437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4" w:type="dxa"/>
            <w:noWrap/>
            <w:hideMark/>
          </w:tcPr>
          <w:p w:rsidR="00AA29FA" w:rsidRPr="00F33692" w:rsidRDefault="009D046C" w:rsidP="00AA29FA">
            <w:pPr>
              <w:jc w:val="both"/>
            </w:pPr>
            <w:r>
              <w:t>M</w:t>
            </w:r>
            <w:r w:rsidR="00AA29FA" w:rsidRPr="00F33692">
              <w:t>oyenne 1 : annulés</w:t>
            </w:r>
          </w:p>
        </w:tc>
        <w:tc>
          <w:tcPr>
            <w:tcW w:w="0" w:type="auto"/>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-0,0072</w:t>
            </w:r>
          </w:p>
        </w:tc>
        <w:tc>
          <w:tcPr>
            <w:tcW w:w="1731" w:type="dxa"/>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-0,00737</w:t>
            </w:r>
          </w:p>
        </w:tc>
        <w:tc>
          <w:tcPr>
            <w:tcW w:w="1076" w:type="dxa"/>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-0,01183</w:t>
            </w:r>
          </w:p>
        </w:tc>
        <w:tc>
          <w:tcPr>
            <w:tcW w:w="1854" w:type="dxa"/>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-0,0181</w:t>
            </w:r>
          </w:p>
        </w:tc>
      </w:tr>
      <w:tr w:rsidR="00F33692" w:rsidRPr="00AA29FA" w:rsidTr="0043768D">
        <w:trPr>
          <w:trHeight w:val="300"/>
        </w:trPr>
        <w:tc>
          <w:tcPr>
            <w:cnfStyle w:val="001000000000" w:firstRow="0" w:lastRow="0" w:firstColumn="1" w:lastColumn="0" w:oddVBand="0" w:evenVBand="0" w:oddHBand="0" w:evenHBand="0" w:firstRowFirstColumn="0" w:firstRowLastColumn="0" w:lastRowFirstColumn="0" w:lastRowLastColumn="0"/>
            <w:tcW w:w="2604" w:type="dxa"/>
            <w:noWrap/>
            <w:hideMark/>
          </w:tcPr>
          <w:p w:rsidR="00AA29FA" w:rsidRPr="00F33692" w:rsidRDefault="009D046C" w:rsidP="00AA29FA">
            <w:pPr>
              <w:jc w:val="both"/>
            </w:pPr>
            <w:r>
              <w:t>M</w:t>
            </w:r>
            <w:r w:rsidR="00AA29FA" w:rsidRPr="00F33692">
              <w:t>oyenne 2 : réduits et confirmés</w:t>
            </w:r>
          </w:p>
        </w:tc>
        <w:tc>
          <w:tcPr>
            <w:tcW w:w="0" w:type="auto"/>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0,0084</w:t>
            </w:r>
          </w:p>
        </w:tc>
        <w:tc>
          <w:tcPr>
            <w:tcW w:w="1731" w:type="dxa"/>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0,00742</w:t>
            </w:r>
          </w:p>
        </w:tc>
        <w:tc>
          <w:tcPr>
            <w:tcW w:w="1076" w:type="dxa"/>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0,0154</w:t>
            </w:r>
          </w:p>
        </w:tc>
        <w:tc>
          <w:tcPr>
            <w:tcW w:w="1854" w:type="dxa"/>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0,0174</w:t>
            </w:r>
          </w:p>
        </w:tc>
      </w:tr>
      <w:tr w:rsidR="00F33692" w:rsidRPr="00AA29FA" w:rsidTr="00437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4" w:type="dxa"/>
            <w:noWrap/>
            <w:hideMark/>
          </w:tcPr>
          <w:p w:rsidR="00AA29FA" w:rsidRPr="00F33692" w:rsidRDefault="00AA29FA" w:rsidP="00AA29FA">
            <w:pPr>
              <w:jc w:val="both"/>
            </w:pPr>
            <w:r w:rsidRPr="00F33692">
              <w:t>n1</w:t>
            </w:r>
          </w:p>
        </w:tc>
        <w:tc>
          <w:tcPr>
            <w:tcW w:w="0" w:type="auto"/>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49</w:t>
            </w:r>
          </w:p>
        </w:tc>
        <w:tc>
          <w:tcPr>
            <w:tcW w:w="1731" w:type="dxa"/>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49</w:t>
            </w:r>
          </w:p>
        </w:tc>
        <w:tc>
          <w:tcPr>
            <w:tcW w:w="1076" w:type="dxa"/>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49</w:t>
            </w:r>
          </w:p>
        </w:tc>
        <w:tc>
          <w:tcPr>
            <w:tcW w:w="1854" w:type="dxa"/>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49</w:t>
            </w:r>
          </w:p>
        </w:tc>
      </w:tr>
      <w:tr w:rsidR="00F33692" w:rsidRPr="00AA29FA" w:rsidTr="0043768D">
        <w:trPr>
          <w:trHeight w:val="300"/>
        </w:trPr>
        <w:tc>
          <w:tcPr>
            <w:cnfStyle w:val="001000000000" w:firstRow="0" w:lastRow="0" w:firstColumn="1" w:lastColumn="0" w:oddVBand="0" w:evenVBand="0" w:oddHBand="0" w:evenHBand="0" w:firstRowFirstColumn="0" w:firstRowLastColumn="0" w:lastRowFirstColumn="0" w:lastRowLastColumn="0"/>
            <w:tcW w:w="2604" w:type="dxa"/>
            <w:noWrap/>
            <w:hideMark/>
          </w:tcPr>
          <w:p w:rsidR="00AA29FA" w:rsidRPr="00F33692" w:rsidRDefault="00AA29FA" w:rsidP="00AA29FA">
            <w:pPr>
              <w:jc w:val="both"/>
            </w:pPr>
            <w:r w:rsidRPr="00F33692">
              <w:t>n2</w:t>
            </w:r>
          </w:p>
        </w:tc>
        <w:tc>
          <w:tcPr>
            <w:tcW w:w="0" w:type="auto"/>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46</w:t>
            </w:r>
          </w:p>
        </w:tc>
        <w:tc>
          <w:tcPr>
            <w:tcW w:w="1731" w:type="dxa"/>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46</w:t>
            </w:r>
          </w:p>
        </w:tc>
        <w:tc>
          <w:tcPr>
            <w:tcW w:w="1076" w:type="dxa"/>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46</w:t>
            </w:r>
          </w:p>
        </w:tc>
        <w:tc>
          <w:tcPr>
            <w:tcW w:w="1854" w:type="dxa"/>
            <w:noWrap/>
            <w:hideMark/>
          </w:tcPr>
          <w:p w:rsidR="00AA29FA" w:rsidRPr="00F33692" w:rsidRDefault="00AA29FA" w:rsidP="00F33692">
            <w:pPr>
              <w:jc w:val="both"/>
              <w:cnfStyle w:val="000000000000" w:firstRow="0" w:lastRow="0" w:firstColumn="0" w:lastColumn="0" w:oddVBand="0" w:evenVBand="0" w:oddHBand="0" w:evenHBand="0" w:firstRowFirstColumn="0" w:firstRowLastColumn="0" w:lastRowFirstColumn="0" w:lastRowLastColumn="0"/>
            </w:pPr>
            <w:r w:rsidRPr="00F33692">
              <w:t>46</w:t>
            </w:r>
          </w:p>
        </w:tc>
      </w:tr>
      <w:tr w:rsidR="00F33692" w:rsidRPr="00AA29FA" w:rsidTr="004376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4" w:type="dxa"/>
            <w:noWrap/>
            <w:hideMark/>
          </w:tcPr>
          <w:p w:rsidR="00AA29FA" w:rsidRPr="00F33692" w:rsidRDefault="005C428D" w:rsidP="00AA29FA">
            <w:pPr>
              <w:jc w:val="both"/>
            </w:pPr>
            <w:r>
              <w:t>Z</w:t>
            </w:r>
            <w:r w:rsidR="00CA3A16">
              <w:t xml:space="preserve"> </w:t>
            </w:r>
            <w:r w:rsidR="00AA29FA" w:rsidRPr="00F33692">
              <w:t>obs</w:t>
            </w:r>
            <w:r w:rsidR="00CA3A16">
              <w:t>ervé</w:t>
            </w:r>
          </w:p>
        </w:tc>
        <w:tc>
          <w:tcPr>
            <w:tcW w:w="0" w:type="auto"/>
            <w:noWrap/>
            <w:hideMark/>
          </w:tcPr>
          <w:p w:rsidR="00AA29FA" w:rsidRPr="0043768D" w:rsidRDefault="00AA29FA" w:rsidP="00F33692">
            <w:pPr>
              <w:jc w:val="both"/>
              <w:cnfStyle w:val="000000100000" w:firstRow="0" w:lastRow="0" w:firstColumn="0" w:lastColumn="0" w:oddVBand="0" w:evenVBand="0" w:oddHBand="1" w:evenHBand="0" w:firstRowFirstColumn="0" w:firstRowLastColumn="0" w:lastRowFirstColumn="0" w:lastRowLastColumn="0"/>
              <w:rPr>
                <w:b/>
              </w:rPr>
            </w:pPr>
            <w:r w:rsidRPr="0043768D">
              <w:rPr>
                <w:b/>
              </w:rPr>
              <w:t>-1,803</w:t>
            </w:r>
          </w:p>
        </w:tc>
        <w:tc>
          <w:tcPr>
            <w:tcW w:w="1731" w:type="dxa"/>
            <w:noWrap/>
            <w:hideMark/>
          </w:tcPr>
          <w:p w:rsidR="00AA29FA" w:rsidRPr="0043768D" w:rsidRDefault="00AA29FA" w:rsidP="00F33692">
            <w:pPr>
              <w:jc w:val="both"/>
              <w:cnfStyle w:val="000000100000" w:firstRow="0" w:lastRow="0" w:firstColumn="0" w:lastColumn="0" w:oddVBand="0" w:evenVBand="0" w:oddHBand="1" w:evenHBand="0" w:firstRowFirstColumn="0" w:firstRowLastColumn="0" w:lastRowFirstColumn="0" w:lastRowLastColumn="0"/>
              <w:rPr>
                <w:b/>
              </w:rPr>
            </w:pPr>
            <w:r w:rsidRPr="0043768D">
              <w:rPr>
                <w:b/>
              </w:rPr>
              <w:t>-2,093</w:t>
            </w:r>
          </w:p>
        </w:tc>
        <w:tc>
          <w:tcPr>
            <w:tcW w:w="1076" w:type="dxa"/>
            <w:noWrap/>
            <w:hideMark/>
          </w:tcPr>
          <w:p w:rsidR="00AA29FA" w:rsidRPr="00F33692" w:rsidRDefault="00AA29FA" w:rsidP="00F33692">
            <w:pPr>
              <w:jc w:val="both"/>
              <w:cnfStyle w:val="000000100000" w:firstRow="0" w:lastRow="0" w:firstColumn="0" w:lastColumn="0" w:oddVBand="0" w:evenVBand="0" w:oddHBand="1" w:evenHBand="0" w:firstRowFirstColumn="0" w:firstRowLastColumn="0" w:lastRowFirstColumn="0" w:lastRowLastColumn="0"/>
            </w:pPr>
            <w:r w:rsidRPr="00F33692">
              <w:t>-1,564</w:t>
            </w:r>
          </w:p>
        </w:tc>
        <w:tc>
          <w:tcPr>
            <w:tcW w:w="1854" w:type="dxa"/>
            <w:noWrap/>
            <w:hideMark/>
          </w:tcPr>
          <w:p w:rsidR="00AA29FA" w:rsidRPr="0043768D" w:rsidRDefault="00AA29FA" w:rsidP="00F33692">
            <w:pPr>
              <w:jc w:val="both"/>
              <w:cnfStyle w:val="000000100000" w:firstRow="0" w:lastRow="0" w:firstColumn="0" w:lastColumn="0" w:oddVBand="0" w:evenVBand="0" w:oddHBand="1" w:evenHBand="0" w:firstRowFirstColumn="0" w:firstRowLastColumn="0" w:lastRowFirstColumn="0" w:lastRowLastColumn="0"/>
              <w:rPr>
                <w:b/>
              </w:rPr>
            </w:pPr>
            <w:r w:rsidRPr="0043768D">
              <w:rPr>
                <w:b/>
              </w:rPr>
              <w:t>-2,366</w:t>
            </w:r>
            <w:r w:rsidR="0043768D" w:rsidRPr="0043768D">
              <w:rPr>
                <w:b/>
              </w:rPr>
              <w:t xml:space="preserve"> </w:t>
            </w:r>
          </w:p>
        </w:tc>
      </w:tr>
      <w:tr w:rsidR="0043768D" w:rsidRPr="00AA29FA" w:rsidTr="0043768D">
        <w:trPr>
          <w:trHeight w:val="300"/>
        </w:trPr>
        <w:tc>
          <w:tcPr>
            <w:cnfStyle w:val="001000000000" w:firstRow="0" w:lastRow="0" w:firstColumn="1" w:lastColumn="0" w:oddVBand="0" w:evenVBand="0" w:oddHBand="0" w:evenHBand="0" w:firstRowFirstColumn="0" w:firstRowLastColumn="0" w:lastRowFirstColumn="0" w:lastRowLastColumn="0"/>
            <w:tcW w:w="2604" w:type="dxa"/>
            <w:noWrap/>
          </w:tcPr>
          <w:p w:rsidR="0043768D" w:rsidRDefault="0043768D" w:rsidP="00AA29FA">
            <w:pPr>
              <w:jc w:val="both"/>
            </w:pPr>
            <w:r w:rsidRPr="0043768D">
              <w:t>Seuil de significativité</w:t>
            </w:r>
          </w:p>
        </w:tc>
        <w:tc>
          <w:tcPr>
            <w:tcW w:w="0" w:type="auto"/>
            <w:noWrap/>
          </w:tcPr>
          <w:p w:rsidR="0043768D" w:rsidRPr="0043768D" w:rsidRDefault="0043768D" w:rsidP="00F33692">
            <w:pPr>
              <w:jc w:val="both"/>
              <w:cnfStyle w:val="000000000000" w:firstRow="0" w:lastRow="0" w:firstColumn="0" w:lastColumn="0" w:oddVBand="0" w:evenVBand="0" w:oddHBand="0" w:evenHBand="0" w:firstRowFirstColumn="0" w:firstRowLastColumn="0" w:lastRowFirstColumn="0" w:lastRowLastColumn="0"/>
              <w:rPr>
                <w:b/>
              </w:rPr>
            </w:pPr>
            <w:r w:rsidRPr="0043768D">
              <w:rPr>
                <w:b/>
              </w:rPr>
              <w:t>0,036</w:t>
            </w:r>
          </w:p>
        </w:tc>
        <w:tc>
          <w:tcPr>
            <w:tcW w:w="1731" w:type="dxa"/>
            <w:noWrap/>
          </w:tcPr>
          <w:p w:rsidR="0043768D" w:rsidRPr="0043768D" w:rsidRDefault="0043768D" w:rsidP="00F33692">
            <w:pPr>
              <w:jc w:val="both"/>
              <w:cnfStyle w:val="000000000000" w:firstRow="0" w:lastRow="0" w:firstColumn="0" w:lastColumn="0" w:oddVBand="0" w:evenVBand="0" w:oddHBand="0" w:evenHBand="0" w:firstRowFirstColumn="0" w:firstRowLastColumn="0" w:lastRowFirstColumn="0" w:lastRowLastColumn="0"/>
              <w:rPr>
                <w:b/>
              </w:rPr>
            </w:pPr>
            <w:r w:rsidRPr="0043768D">
              <w:rPr>
                <w:b/>
              </w:rPr>
              <w:t>0,0183</w:t>
            </w:r>
          </w:p>
        </w:tc>
        <w:tc>
          <w:tcPr>
            <w:tcW w:w="1076" w:type="dxa"/>
            <w:noWrap/>
          </w:tcPr>
          <w:p w:rsidR="0043768D" w:rsidRPr="00F33692" w:rsidRDefault="0043768D" w:rsidP="00F33692">
            <w:pPr>
              <w:jc w:val="both"/>
              <w:cnfStyle w:val="000000000000" w:firstRow="0" w:lastRow="0" w:firstColumn="0" w:lastColumn="0" w:oddVBand="0" w:evenVBand="0" w:oddHBand="0" w:evenHBand="0" w:firstRowFirstColumn="0" w:firstRowLastColumn="0" w:lastRowFirstColumn="0" w:lastRowLastColumn="0"/>
            </w:pPr>
            <w:r>
              <w:t>0,0594</w:t>
            </w:r>
          </w:p>
        </w:tc>
        <w:tc>
          <w:tcPr>
            <w:tcW w:w="1854" w:type="dxa"/>
            <w:noWrap/>
          </w:tcPr>
          <w:p w:rsidR="0043768D" w:rsidRPr="0043768D" w:rsidRDefault="0043768D" w:rsidP="00F33692">
            <w:pPr>
              <w:jc w:val="both"/>
              <w:cnfStyle w:val="000000000000" w:firstRow="0" w:lastRow="0" w:firstColumn="0" w:lastColumn="0" w:oddVBand="0" w:evenVBand="0" w:oddHBand="0" w:evenHBand="0" w:firstRowFirstColumn="0" w:firstRowLastColumn="0" w:lastRowFirstColumn="0" w:lastRowLastColumn="0"/>
              <w:rPr>
                <w:b/>
              </w:rPr>
            </w:pPr>
            <w:r w:rsidRPr="0043768D">
              <w:rPr>
                <w:b/>
              </w:rPr>
              <w:t>0,0091</w:t>
            </w:r>
          </w:p>
        </w:tc>
      </w:tr>
    </w:tbl>
    <w:p w:rsidR="00AA29FA" w:rsidRDefault="00AA29FA" w:rsidP="000C274A">
      <w:pPr>
        <w:ind w:left="786"/>
        <w:jc w:val="both"/>
        <w:rPr>
          <w:sz w:val="26"/>
          <w:szCs w:val="26"/>
        </w:rPr>
      </w:pPr>
    </w:p>
    <w:p w:rsidR="00A27FE6" w:rsidRPr="000C274A" w:rsidRDefault="00561553" w:rsidP="00561553">
      <w:pPr>
        <w:ind w:left="786"/>
        <w:jc w:val="both"/>
        <w:rPr>
          <w:sz w:val="26"/>
          <w:szCs w:val="26"/>
        </w:rPr>
      </w:pPr>
      <w:r>
        <w:rPr>
          <w:sz w:val="26"/>
          <w:szCs w:val="26"/>
        </w:rPr>
        <w:t>Sur base de ce test, nous émettons la conclusion qu’il y a bien une réaction moyenne différenciée selon le type d’annonces : les annulations de dividendes, après le 27 mars, ont eu un effet statistiquement significatif et plus négatif que les annonces de réduction et de confirmation des dividendes versés. Ce résultat tend à démontrer que le signal d’une rémunération adressée aux actionnaires – même si, dans certains cas</w:t>
      </w:r>
      <w:r w:rsidR="00537F69">
        <w:rPr>
          <w:sz w:val="26"/>
          <w:szCs w:val="26"/>
        </w:rPr>
        <w:t>, partielle</w:t>
      </w:r>
      <w:r>
        <w:rPr>
          <w:sz w:val="26"/>
          <w:szCs w:val="26"/>
        </w:rPr>
        <w:t xml:space="preserve"> – est ressenti plus positivement que l’annulation des dividendes qui peut être assimilé</w:t>
      </w:r>
      <w:r w:rsidR="00836B8D">
        <w:rPr>
          <w:sz w:val="26"/>
          <w:szCs w:val="26"/>
        </w:rPr>
        <w:t>e</w:t>
      </w:r>
      <w:r>
        <w:rPr>
          <w:sz w:val="26"/>
          <w:szCs w:val="26"/>
        </w:rPr>
        <w:t xml:space="preserve"> non pas à une gestion prudentielle et vertueuse </w:t>
      </w:r>
      <w:r w:rsidR="003E000D">
        <w:rPr>
          <w:sz w:val="26"/>
          <w:szCs w:val="26"/>
        </w:rPr>
        <w:t xml:space="preserve">de l’entreprise </w:t>
      </w:r>
      <w:r>
        <w:rPr>
          <w:sz w:val="26"/>
          <w:szCs w:val="26"/>
        </w:rPr>
        <w:t>mais bel et bien à un aveu de faib</w:t>
      </w:r>
      <w:r w:rsidR="00572CAF">
        <w:rPr>
          <w:sz w:val="26"/>
          <w:szCs w:val="26"/>
        </w:rPr>
        <w:t xml:space="preserve">lesse et à une situation de rupture du lien de confiance qui </w:t>
      </w:r>
      <w:r w:rsidR="00021066">
        <w:rPr>
          <w:sz w:val="26"/>
          <w:szCs w:val="26"/>
        </w:rPr>
        <w:t>semblait unir</w:t>
      </w:r>
      <w:r w:rsidR="00AD34B9">
        <w:rPr>
          <w:sz w:val="26"/>
          <w:szCs w:val="26"/>
        </w:rPr>
        <w:t xml:space="preserve"> le débiteur et</w:t>
      </w:r>
      <w:r w:rsidR="00572CAF">
        <w:rPr>
          <w:sz w:val="26"/>
          <w:szCs w:val="26"/>
        </w:rPr>
        <w:t xml:space="preserve"> ses créanciers.</w:t>
      </w:r>
      <w:r>
        <w:rPr>
          <w:sz w:val="26"/>
          <w:szCs w:val="26"/>
        </w:rPr>
        <w:t xml:space="preserve"> </w:t>
      </w:r>
      <w:r w:rsidR="00E5105C">
        <w:rPr>
          <w:sz w:val="26"/>
          <w:szCs w:val="26"/>
        </w:rPr>
        <w:t>Ainsi, l</w:t>
      </w:r>
      <w:r w:rsidR="009E07A4">
        <w:rPr>
          <w:sz w:val="26"/>
          <w:szCs w:val="26"/>
        </w:rPr>
        <w:t>’hypothèse nulle (</w:t>
      </w:r>
      <w:r w:rsidR="009E07A4">
        <w:rPr>
          <w:rFonts w:cstheme="minorHAnsi"/>
          <w:sz w:val="26"/>
          <w:szCs w:val="26"/>
        </w:rPr>
        <w:t>µ</w:t>
      </w:r>
      <w:r w:rsidR="009E07A4">
        <w:rPr>
          <w:sz w:val="26"/>
          <w:szCs w:val="26"/>
        </w:rPr>
        <w:t>1=</w:t>
      </w:r>
      <w:r w:rsidR="009E07A4">
        <w:rPr>
          <w:rFonts w:cstheme="minorHAnsi"/>
          <w:sz w:val="26"/>
          <w:szCs w:val="26"/>
        </w:rPr>
        <w:t>µ</w:t>
      </w:r>
      <w:r w:rsidR="009E07A4">
        <w:rPr>
          <w:sz w:val="26"/>
          <w:szCs w:val="26"/>
        </w:rPr>
        <w:t>2) est rejetée et l’hypothèse</w:t>
      </w:r>
      <w:r w:rsidR="00677180">
        <w:rPr>
          <w:sz w:val="26"/>
          <w:szCs w:val="26"/>
        </w:rPr>
        <w:t xml:space="preserve"> d’une uniformité de réaction </w:t>
      </w:r>
      <w:r w:rsidR="003A63B5">
        <w:rPr>
          <w:sz w:val="26"/>
          <w:szCs w:val="26"/>
        </w:rPr>
        <w:t xml:space="preserve">est </w:t>
      </w:r>
      <w:r w:rsidR="00677180">
        <w:rPr>
          <w:sz w:val="26"/>
          <w:szCs w:val="26"/>
        </w:rPr>
        <w:t>invalidée</w:t>
      </w:r>
      <w:r w:rsidR="009E07A4">
        <w:rPr>
          <w:sz w:val="26"/>
          <w:szCs w:val="26"/>
        </w:rPr>
        <w:t>.</w:t>
      </w:r>
    </w:p>
    <w:p w:rsidR="00FF4144" w:rsidRDefault="00D64553" w:rsidP="00FF4144">
      <w:pPr>
        <w:pStyle w:val="Paragraphedeliste"/>
        <w:numPr>
          <w:ilvl w:val="0"/>
          <w:numId w:val="1"/>
        </w:numPr>
        <w:jc w:val="both"/>
        <w:rPr>
          <w:sz w:val="28"/>
          <w:szCs w:val="28"/>
          <w:u w:val="single"/>
        </w:rPr>
      </w:pPr>
      <w:r w:rsidRPr="00D64553">
        <w:rPr>
          <w:sz w:val="28"/>
          <w:szCs w:val="28"/>
          <w:u w:val="single"/>
        </w:rPr>
        <w:t>Conclusions</w:t>
      </w:r>
    </w:p>
    <w:p w:rsidR="0087607E" w:rsidRDefault="0087607E" w:rsidP="008A4646">
      <w:pPr>
        <w:pStyle w:val="Paragraphedeliste"/>
        <w:jc w:val="both"/>
        <w:rPr>
          <w:sz w:val="26"/>
          <w:szCs w:val="26"/>
        </w:rPr>
      </w:pPr>
    </w:p>
    <w:p w:rsidR="001F6C87" w:rsidRDefault="00CF47B9" w:rsidP="008A4646">
      <w:pPr>
        <w:pStyle w:val="Paragraphedeliste"/>
        <w:jc w:val="both"/>
        <w:rPr>
          <w:sz w:val="26"/>
          <w:szCs w:val="26"/>
        </w:rPr>
      </w:pPr>
      <w:r>
        <w:rPr>
          <w:sz w:val="26"/>
          <w:szCs w:val="26"/>
        </w:rPr>
        <w:t>La littérature relative à la politique de distribution est fournie et fortement ancrée dans le paysage scientifique financier. Toutefois, celle-ci ne s’est jamais confrontée à une lame de fond boursière poussant des pans entiers d’entreprises emblémati</w:t>
      </w:r>
      <w:r w:rsidR="00F91AD0">
        <w:rPr>
          <w:sz w:val="26"/>
          <w:szCs w:val="26"/>
        </w:rPr>
        <w:t xml:space="preserve">ques </w:t>
      </w:r>
      <w:r>
        <w:rPr>
          <w:sz w:val="26"/>
          <w:szCs w:val="26"/>
        </w:rPr>
        <w:t>à abandonner le</w:t>
      </w:r>
      <w:r w:rsidR="0097277A">
        <w:rPr>
          <w:sz w:val="26"/>
          <w:szCs w:val="26"/>
        </w:rPr>
        <w:t>ur</w:t>
      </w:r>
      <w:r>
        <w:rPr>
          <w:sz w:val="26"/>
          <w:szCs w:val="26"/>
        </w:rPr>
        <w:t xml:space="preserve"> versemen</w:t>
      </w:r>
      <w:r w:rsidR="0097277A">
        <w:rPr>
          <w:sz w:val="26"/>
          <w:szCs w:val="26"/>
        </w:rPr>
        <w:t>t de dividendes</w:t>
      </w:r>
      <w:r>
        <w:rPr>
          <w:sz w:val="26"/>
          <w:szCs w:val="26"/>
        </w:rPr>
        <w:t xml:space="preserve">. Le contexte </w:t>
      </w:r>
      <w:r w:rsidR="00F91AD0">
        <w:rPr>
          <w:sz w:val="26"/>
          <w:szCs w:val="26"/>
        </w:rPr>
        <w:t xml:space="preserve">d’étude </w:t>
      </w:r>
      <w:r w:rsidR="00B81F6E">
        <w:rPr>
          <w:sz w:val="26"/>
          <w:szCs w:val="26"/>
        </w:rPr>
        <w:t xml:space="preserve">coloré COVID19 </w:t>
      </w:r>
      <w:r>
        <w:rPr>
          <w:sz w:val="26"/>
          <w:szCs w:val="26"/>
        </w:rPr>
        <w:t>est donc inédit.</w:t>
      </w:r>
      <w:r w:rsidR="00FB4B5E">
        <w:rPr>
          <w:sz w:val="26"/>
          <w:szCs w:val="26"/>
        </w:rPr>
        <w:t xml:space="preserve"> L’abandon partiel ou total des dividendes peut s’expliquer de diverses manières, parfois largement imbriquées. Premièrement, les entreprises peuvent agir dans un souci de précaution et de </w:t>
      </w:r>
      <w:r w:rsidR="00E54DEE">
        <w:rPr>
          <w:sz w:val="26"/>
          <w:szCs w:val="26"/>
        </w:rPr>
        <w:t xml:space="preserve">bonne </w:t>
      </w:r>
      <w:r w:rsidR="00FB4B5E">
        <w:rPr>
          <w:sz w:val="26"/>
          <w:szCs w:val="26"/>
        </w:rPr>
        <w:t xml:space="preserve">gestion </w:t>
      </w:r>
      <w:r w:rsidR="00E54DEE">
        <w:rPr>
          <w:sz w:val="26"/>
          <w:szCs w:val="26"/>
        </w:rPr>
        <w:t xml:space="preserve">(i.e. </w:t>
      </w:r>
      <w:r w:rsidR="00FB4B5E">
        <w:rPr>
          <w:sz w:val="26"/>
          <w:szCs w:val="26"/>
        </w:rPr>
        <w:t>prudentielle</w:t>
      </w:r>
      <w:r w:rsidR="00E54DEE">
        <w:rPr>
          <w:sz w:val="26"/>
          <w:szCs w:val="26"/>
        </w:rPr>
        <w:t>)</w:t>
      </w:r>
      <w:r w:rsidR="00FB4B5E">
        <w:rPr>
          <w:sz w:val="26"/>
          <w:szCs w:val="26"/>
        </w:rPr>
        <w:t xml:space="preserve"> de leurs niveaux de trésorerie. Deuxièmement, elles peuvent vouloir se laisser l’opportunité de recourir aux aides publiques, si la situation le nécessitait. Troisièmement, elles peuvent s’inscrire dans un ex</w:t>
      </w:r>
      <w:r w:rsidR="009E7608">
        <w:rPr>
          <w:sz w:val="26"/>
          <w:szCs w:val="26"/>
        </w:rPr>
        <w:t>ercice de solidarité dépassant</w:t>
      </w:r>
      <w:r w:rsidR="00FB4B5E">
        <w:rPr>
          <w:sz w:val="26"/>
          <w:szCs w:val="26"/>
        </w:rPr>
        <w:t xml:space="preserve"> largement les frontières de l’entreprise. </w:t>
      </w:r>
      <w:r w:rsidR="00F91AD0">
        <w:rPr>
          <w:sz w:val="26"/>
          <w:szCs w:val="26"/>
        </w:rPr>
        <w:t>Dans le cadre de cette étude, nous nous sommes focalisés sur la politique de distribution de dividendes des entreprises incluses dans le SBF120</w:t>
      </w:r>
      <w:r w:rsidR="00A32D96">
        <w:rPr>
          <w:sz w:val="26"/>
          <w:szCs w:val="26"/>
        </w:rPr>
        <w:t>, sur le marché français</w:t>
      </w:r>
      <w:r w:rsidR="00F91AD0">
        <w:rPr>
          <w:sz w:val="26"/>
          <w:szCs w:val="26"/>
        </w:rPr>
        <w:t xml:space="preserve">. </w:t>
      </w:r>
      <w:r w:rsidR="00FB4B5E">
        <w:rPr>
          <w:sz w:val="26"/>
          <w:szCs w:val="26"/>
        </w:rPr>
        <w:t>Si les premières annonces de révision (annulation ou réd</w:t>
      </w:r>
      <w:r w:rsidR="0097277A">
        <w:rPr>
          <w:sz w:val="26"/>
          <w:szCs w:val="26"/>
        </w:rPr>
        <w:t xml:space="preserve">uction) </w:t>
      </w:r>
      <w:r w:rsidR="00FB4B5E">
        <w:rPr>
          <w:sz w:val="26"/>
          <w:szCs w:val="26"/>
        </w:rPr>
        <w:t xml:space="preserve">ont été largement sanctionnées par des marchés pris de court </w:t>
      </w:r>
      <w:r w:rsidR="00E54DEE">
        <w:rPr>
          <w:sz w:val="26"/>
          <w:szCs w:val="26"/>
        </w:rPr>
        <w:t>par l’ampleur du choc boursier</w:t>
      </w:r>
      <w:r w:rsidR="00FB4B5E">
        <w:rPr>
          <w:sz w:val="26"/>
          <w:szCs w:val="26"/>
        </w:rPr>
        <w:t xml:space="preserve">, les mesures régaliennes annoncées le 27 mars ont eu pour vocation de revenir à une situation un peu plus sereine lors de l’annonce de modifications dans la politique de distribution. A partir de cette date, </w:t>
      </w:r>
      <w:r w:rsidR="00A16434">
        <w:rPr>
          <w:sz w:val="26"/>
          <w:szCs w:val="26"/>
        </w:rPr>
        <w:t>de</w:t>
      </w:r>
      <w:r w:rsidR="00991F7E">
        <w:rPr>
          <w:sz w:val="26"/>
          <w:szCs w:val="26"/>
        </w:rPr>
        <w:t xml:space="preserve"> nouveaux paradigmes vont</w:t>
      </w:r>
      <w:r w:rsidR="008A4646">
        <w:rPr>
          <w:sz w:val="26"/>
          <w:szCs w:val="26"/>
        </w:rPr>
        <w:t xml:space="preserve"> </w:t>
      </w:r>
      <w:r w:rsidR="007447B4">
        <w:rPr>
          <w:sz w:val="26"/>
          <w:szCs w:val="26"/>
        </w:rPr>
        <w:t xml:space="preserve">cependant </w:t>
      </w:r>
      <w:r w:rsidR="008A4646">
        <w:rPr>
          <w:sz w:val="26"/>
          <w:szCs w:val="26"/>
        </w:rPr>
        <w:t xml:space="preserve">émerger : </w:t>
      </w:r>
      <w:r w:rsidR="00DC66D5">
        <w:rPr>
          <w:sz w:val="26"/>
          <w:szCs w:val="26"/>
        </w:rPr>
        <w:t>l’annulation aurait pu</w:t>
      </w:r>
      <w:r w:rsidR="00F1091D" w:rsidRPr="008A4646">
        <w:rPr>
          <w:sz w:val="26"/>
          <w:szCs w:val="26"/>
        </w:rPr>
        <w:t xml:space="preserve"> </w:t>
      </w:r>
      <w:r w:rsidR="00E366F5" w:rsidRPr="008A4646">
        <w:rPr>
          <w:sz w:val="26"/>
          <w:szCs w:val="26"/>
        </w:rPr>
        <w:t>s’apparenter à</w:t>
      </w:r>
      <w:r w:rsidR="0039495A">
        <w:rPr>
          <w:sz w:val="26"/>
          <w:szCs w:val="26"/>
        </w:rPr>
        <w:t xml:space="preserve"> une norme</w:t>
      </w:r>
      <w:r w:rsidR="00FB4B5E" w:rsidRPr="008A4646">
        <w:rPr>
          <w:sz w:val="26"/>
          <w:szCs w:val="26"/>
        </w:rPr>
        <w:t xml:space="preserve"> de fonctionnement</w:t>
      </w:r>
      <w:r w:rsidR="00F1091D" w:rsidRPr="008A4646">
        <w:rPr>
          <w:sz w:val="26"/>
          <w:szCs w:val="26"/>
        </w:rPr>
        <w:t xml:space="preserve"> et la confirmation</w:t>
      </w:r>
      <w:r w:rsidR="0039495A">
        <w:rPr>
          <w:sz w:val="26"/>
          <w:szCs w:val="26"/>
        </w:rPr>
        <w:t xml:space="preserve"> ou la réduction</w:t>
      </w:r>
      <w:r w:rsidR="00F1091D" w:rsidRPr="008A4646">
        <w:rPr>
          <w:sz w:val="26"/>
          <w:szCs w:val="26"/>
        </w:rPr>
        <w:t xml:space="preserve"> des div</w:t>
      </w:r>
      <w:r w:rsidR="00991F7E">
        <w:rPr>
          <w:sz w:val="26"/>
          <w:szCs w:val="26"/>
        </w:rPr>
        <w:t>idendes pourrai</w:t>
      </w:r>
      <w:r w:rsidR="0039495A">
        <w:rPr>
          <w:sz w:val="26"/>
          <w:szCs w:val="26"/>
        </w:rPr>
        <w:t>en</w:t>
      </w:r>
      <w:r w:rsidR="008A4646">
        <w:rPr>
          <w:sz w:val="26"/>
          <w:szCs w:val="26"/>
        </w:rPr>
        <w:t>t, quant à elle</w:t>
      </w:r>
      <w:r w:rsidR="0039495A">
        <w:rPr>
          <w:sz w:val="26"/>
          <w:szCs w:val="26"/>
        </w:rPr>
        <w:t>s</w:t>
      </w:r>
      <w:r w:rsidR="008A4646">
        <w:rPr>
          <w:sz w:val="26"/>
          <w:szCs w:val="26"/>
        </w:rPr>
        <w:t xml:space="preserve">, </w:t>
      </w:r>
      <w:r w:rsidR="00E366F5" w:rsidRPr="008A4646">
        <w:rPr>
          <w:sz w:val="26"/>
          <w:szCs w:val="26"/>
        </w:rPr>
        <w:t xml:space="preserve">revêtir un caractère </w:t>
      </w:r>
      <w:r w:rsidR="0097277A">
        <w:rPr>
          <w:sz w:val="26"/>
          <w:szCs w:val="26"/>
        </w:rPr>
        <w:t>surprenant</w:t>
      </w:r>
      <w:r w:rsidR="00F1091D" w:rsidRPr="008A4646">
        <w:rPr>
          <w:sz w:val="26"/>
          <w:szCs w:val="26"/>
        </w:rPr>
        <w:t xml:space="preserve">. </w:t>
      </w:r>
    </w:p>
    <w:p w:rsidR="00CF47B9" w:rsidRDefault="00DC66D5" w:rsidP="008A4646">
      <w:pPr>
        <w:pStyle w:val="Paragraphedeliste"/>
        <w:jc w:val="both"/>
        <w:rPr>
          <w:sz w:val="26"/>
          <w:szCs w:val="26"/>
        </w:rPr>
      </w:pPr>
      <w:r>
        <w:rPr>
          <w:sz w:val="26"/>
          <w:szCs w:val="26"/>
        </w:rPr>
        <w:t xml:space="preserve">En prenant en considération l’ensemble des annonces, la méthodologie utilisée tend à démontrer que le maintien d’un certain niveau de rémunération a eu pour effet des réactions plus positives que l’annulation (même si </w:t>
      </w:r>
      <w:r w:rsidR="0031514E">
        <w:rPr>
          <w:sz w:val="26"/>
          <w:szCs w:val="26"/>
        </w:rPr>
        <w:t>d</w:t>
      </w:r>
      <w:r>
        <w:rPr>
          <w:sz w:val="26"/>
          <w:szCs w:val="26"/>
        </w:rPr>
        <w:t>es résultats statistiquement significatifs ne sont observés que dans un seul cas de figure).</w:t>
      </w:r>
    </w:p>
    <w:p w:rsidR="00DC66D5" w:rsidRDefault="00DC66D5" w:rsidP="008A4646">
      <w:pPr>
        <w:pStyle w:val="Paragraphedeliste"/>
        <w:jc w:val="both"/>
        <w:rPr>
          <w:sz w:val="26"/>
          <w:szCs w:val="26"/>
        </w:rPr>
      </w:pPr>
      <w:r>
        <w:rPr>
          <w:sz w:val="26"/>
          <w:szCs w:val="26"/>
        </w:rPr>
        <w:t>P</w:t>
      </w:r>
      <w:r w:rsidR="0039495A">
        <w:rPr>
          <w:sz w:val="26"/>
          <w:szCs w:val="26"/>
        </w:rPr>
        <w:t xml:space="preserve">our la période post 27 mars, </w:t>
      </w:r>
      <w:r>
        <w:rPr>
          <w:sz w:val="26"/>
          <w:szCs w:val="26"/>
        </w:rPr>
        <w:t xml:space="preserve">en mobilisant </w:t>
      </w:r>
      <w:r w:rsidR="0039495A">
        <w:rPr>
          <w:sz w:val="26"/>
          <w:szCs w:val="26"/>
        </w:rPr>
        <w:t xml:space="preserve">la </w:t>
      </w:r>
      <w:r w:rsidR="0031514E">
        <w:rPr>
          <w:sz w:val="26"/>
          <w:szCs w:val="26"/>
        </w:rPr>
        <w:t>même méthodologie, nous repérons</w:t>
      </w:r>
      <w:r w:rsidR="0039495A">
        <w:rPr>
          <w:sz w:val="26"/>
          <w:szCs w:val="26"/>
        </w:rPr>
        <w:t xml:space="preserve"> des réactions différenciées entre l’annulation du versement et la réduction ou la confirmation de celui-ci</w:t>
      </w:r>
      <w:r>
        <w:rPr>
          <w:sz w:val="26"/>
          <w:szCs w:val="26"/>
        </w:rPr>
        <w:t xml:space="preserve">, </w:t>
      </w:r>
      <w:r w:rsidR="003B71BC">
        <w:rPr>
          <w:sz w:val="26"/>
          <w:szCs w:val="26"/>
        </w:rPr>
        <w:t>avec des niveaux plus prononc</w:t>
      </w:r>
      <w:r w:rsidR="001F6C87">
        <w:rPr>
          <w:sz w:val="26"/>
          <w:szCs w:val="26"/>
        </w:rPr>
        <w:t xml:space="preserve">és de </w:t>
      </w:r>
      <w:r w:rsidR="003B71BC">
        <w:rPr>
          <w:sz w:val="26"/>
          <w:szCs w:val="26"/>
        </w:rPr>
        <w:t>validité</w:t>
      </w:r>
      <w:r>
        <w:rPr>
          <w:sz w:val="26"/>
          <w:szCs w:val="26"/>
        </w:rPr>
        <w:t xml:space="preserve"> statistique</w:t>
      </w:r>
      <w:r w:rsidR="0039495A">
        <w:rPr>
          <w:sz w:val="26"/>
          <w:szCs w:val="26"/>
        </w:rPr>
        <w:t>.</w:t>
      </w:r>
      <w:r w:rsidR="0031514E">
        <w:rPr>
          <w:sz w:val="26"/>
          <w:szCs w:val="26"/>
        </w:rPr>
        <w:t xml:space="preserve"> Le maintien d’un certain niveau de rémunérations aurait tendance à rencontrer les attentes des marchés.</w:t>
      </w:r>
      <w:r w:rsidR="0039495A">
        <w:rPr>
          <w:sz w:val="26"/>
          <w:szCs w:val="26"/>
        </w:rPr>
        <w:t xml:space="preserve"> </w:t>
      </w:r>
    </w:p>
    <w:p w:rsidR="001F6C87" w:rsidRDefault="001F6C87" w:rsidP="001F6C87">
      <w:pPr>
        <w:pStyle w:val="Paragraphedeliste"/>
        <w:jc w:val="both"/>
        <w:rPr>
          <w:sz w:val="26"/>
          <w:szCs w:val="26"/>
        </w:rPr>
      </w:pPr>
      <w:r>
        <w:rPr>
          <w:sz w:val="26"/>
          <w:szCs w:val="26"/>
        </w:rPr>
        <w:t xml:space="preserve">Sans effectuer de test de comparaison de différence, en tout état de cause, la </w:t>
      </w:r>
      <w:r w:rsidRPr="008A4646">
        <w:rPr>
          <w:sz w:val="26"/>
          <w:szCs w:val="26"/>
        </w:rPr>
        <w:t>réduction des dividendes correspond</w:t>
      </w:r>
      <w:r>
        <w:rPr>
          <w:sz w:val="26"/>
          <w:szCs w:val="26"/>
        </w:rPr>
        <w:t>rait</w:t>
      </w:r>
      <w:r w:rsidRPr="008A4646">
        <w:rPr>
          <w:sz w:val="26"/>
          <w:szCs w:val="26"/>
        </w:rPr>
        <w:t>, en moyenne, aux attentes des marchés dans la mesure où cette décision (largement empreinte de compromis) permet</w:t>
      </w:r>
      <w:r>
        <w:rPr>
          <w:sz w:val="26"/>
          <w:szCs w:val="26"/>
        </w:rPr>
        <w:t>trait</w:t>
      </w:r>
      <w:r w:rsidRPr="008A4646">
        <w:rPr>
          <w:sz w:val="26"/>
          <w:szCs w:val="26"/>
        </w:rPr>
        <w:t xml:space="preserve"> de rencontrer un triple objectif : la rémunération (même si partielle) </w:t>
      </w:r>
      <w:r>
        <w:rPr>
          <w:sz w:val="26"/>
          <w:szCs w:val="26"/>
        </w:rPr>
        <w:t>des actionnaires</w:t>
      </w:r>
      <w:r w:rsidRPr="008A4646">
        <w:rPr>
          <w:sz w:val="26"/>
          <w:szCs w:val="26"/>
        </w:rPr>
        <w:t>, la traduction d’une gestion prudentielle de la trésorerie ainsi que la possibilité, le cas échéant,</w:t>
      </w:r>
      <w:r>
        <w:rPr>
          <w:sz w:val="26"/>
          <w:szCs w:val="26"/>
        </w:rPr>
        <w:t xml:space="preserve"> de mobiliser des aides publiques</w:t>
      </w:r>
      <w:r w:rsidRPr="008A4646">
        <w:rPr>
          <w:sz w:val="26"/>
          <w:szCs w:val="26"/>
        </w:rPr>
        <w:t>.</w:t>
      </w:r>
      <w:r>
        <w:rPr>
          <w:sz w:val="26"/>
          <w:szCs w:val="26"/>
        </w:rPr>
        <w:t xml:space="preserve"> </w:t>
      </w:r>
    </w:p>
    <w:p w:rsidR="001F6C87" w:rsidRDefault="001F6C87" w:rsidP="008A4646">
      <w:pPr>
        <w:pStyle w:val="Paragraphedeliste"/>
        <w:jc w:val="both"/>
        <w:rPr>
          <w:sz w:val="26"/>
          <w:szCs w:val="26"/>
        </w:rPr>
      </w:pPr>
    </w:p>
    <w:p w:rsidR="0039495A" w:rsidRPr="008A4646" w:rsidRDefault="001F6C87" w:rsidP="008A4646">
      <w:pPr>
        <w:pStyle w:val="Paragraphedeliste"/>
        <w:jc w:val="both"/>
        <w:rPr>
          <w:sz w:val="26"/>
          <w:szCs w:val="26"/>
        </w:rPr>
      </w:pPr>
      <w:r>
        <w:rPr>
          <w:sz w:val="26"/>
          <w:szCs w:val="26"/>
        </w:rPr>
        <w:t>L</w:t>
      </w:r>
      <w:r w:rsidR="0039495A">
        <w:rPr>
          <w:sz w:val="26"/>
          <w:szCs w:val="26"/>
        </w:rPr>
        <w:t>e</w:t>
      </w:r>
      <w:r w:rsidR="00DC66D5">
        <w:rPr>
          <w:sz w:val="26"/>
          <w:szCs w:val="26"/>
        </w:rPr>
        <w:t>s</w:t>
      </w:r>
      <w:r w:rsidR="0039495A">
        <w:rPr>
          <w:sz w:val="26"/>
          <w:szCs w:val="26"/>
        </w:rPr>
        <w:t xml:space="preserve"> résultat</w:t>
      </w:r>
      <w:r w:rsidR="00DC66D5">
        <w:rPr>
          <w:sz w:val="26"/>
          <w:szCs w:val="26"/>
        </w:rPr>
        <w:t xml:space="preserve">s </w:t>
      </w:r>
      <w:r>
        <w:rPr>
          <w:sz w:val="26"/>
          <w:szCs w:val="26"/>
        </w:rPr>
        <w:t xml:space="preserve">auxquels nous parvenons </w:t>
      </w:r>
      <w:r w:rsidR="0039495A">
        <w:rPr>
          <w:sz w:val="26"/>
          <w:szCs w:val="26"/>
        </w:rPr>
        <w:t>permet</w:t>
      </w:r>
      <w:r w:rsidR="00DC66D5">
        <w:rPr>
          <w:sz w:val="26"/>
          <w:szCs w:val="26"/>
        </w:rPr>
        <w:t>tent</w:t>
      </w:r>
      <w:r w:rsidR="0039495A">
        <w:rPr>
          <w:sz w:val="26"/>
          <w:szCs w:val="26"/>
        </w:rPr>
        <w:t xml:space="preserve"> de conserver à l’esprit que les entreprises demeurent des lieux de création de richesses </w:t>
      </w:r>
      <w:r w:rsidR="00B76B4A">
        <w:rPr>
          <w:sz w:val="26"/>
          <w:szCs w:val="26"/>
        </w:rPr>
        <w:t xml:space="preserve">en partie </w:t>
      </w:r>
      <w:r w:rsidR="0039495A">
        <w:rPr>
          <w:sz w:val="26"/>
          <w:szCs w:val="26"/>
        </w:rPr>
        <w:t>redistribuées aux actionnaires. En dépit de la situation sanitaire avec des parties p</w:t>
      </w:r>
      <w:r w:rsidR="00B76B4A">
        <w:rPr>
          <w:sz w:val="26"/>
          <w:szCs w:val="26"/>
        </w:rPr>
        <w:t xml:space="preserve">renantes largement impactées </w:t>
      </w:r>
      <w:r w:rsidR="0039495A">
        <w:rPr>
          <w:sz w:val="26"/>
          <w:szCs w:val="26"/>
        </w:rPr>
        <w:t>s</w:t>
      </w:r>
      <w:r w:rsidR="00B76B4A">
        <w:rPr>
          <w:sz w:val="26"/>
          <w:szCs w:val="26"/>
        </w:rPr>
        <w:t>ur</w:t>
      </w:r>
      <w:r w:rsidR="0039495A">
        <w:rPr>
          <w:sz w:val="26"/>
          <w:szCs w:val="26"/>
        </w:rPr>
        <w:t xml:space="preserve"> toute la chaîne de valeur, les investisseurs boursiers ne peuvent s’empêcher de valider une politique financière fléchée vers la rencontre de leurs intérêts. Si le COVID19 a engendré de nouveaux paradigmes financiers, la génétique actionnariale est-elle réellement capable d’évoluer ?</w:t>
      </w:r>
    </w:p>
    <w:p w:rsidR="009E7608" w:rsidRPr="00CF47B9" w:rsidRDefault="009E7608" w:rsidP="00CF47B9">
      <w:pPr>
        <w:pStyle w:val="Paragraphedeliste"/>
        <w:jc w:val="both"/>
        <w:rPr>
          <w:sz w:val="26"/>
          <w:szCs w:val="26"/>
        </w:rPr>
      </w:pPr>
    </w:p>
    <w:p w:rsidR="00581189" w:rsidRDefault="00D64553" w:rsidP="00581189">
      <w:pPr>
        <w:pStyle w:val="Paragraphedeliste"/>
        <w:numPr>
          <w:ilvl w:val="0"/>
          <w:numId w:val="1"/>
        </w:numPr>
        <w:jc w:val="both"/>
        <w:rPr>
          <w:sz w:val="28"/>
          <w:szCs w:val="28"/>
          <w:u w:val="single"/>
        </w:rPr>
      </w:pPr>
      <w:r w:rsidRPr="00D64553">
        <w:rPr>
          <w:sz w:val="28"/>
          <w:szCs w:val="28"/>
          <w:u w:val="single"/>
        </w:rPr>
        <w:t>Pistes de recherches complémentaires</w:t>
      </w:r>
    </w:p>
    <w:p w:rsidR="00492EFD" w:rsidRDefault="00492EFD" w:rsidP="00581189">
      <w:pPr>
        <w:pStyle w:val="Paragraphedeliste"/>
        <w:jc w:val="both"/>
        <w:rPr>
          <w:sz w:val="26"/>
          <w:szCs w:val="26"/>
        </w:rPr>
      </w:pPr>
    </w:p>
    <w:p w:rsidR="00581189" w:rsidRDefault="00581189" w:rsidP="00581189">
      <w:pPr>
        <w:pStyle w:val="Paragraphedeliste"/>
        <w:jc w:val="both"/>
        <w:rPr>
          <w:sz w:val="26"/>
          <w:szCs w:val="26"/>
        </w:rPr>
      </w:pPr>
      <w:r>
        <w:rPr>
          <w:sz w:val="26"/>
          <w:szCs w:val="26"/>
        </w:rPr>
        <w:t xml:space="preserve">L’exercice que nous nous sommes proposés de réaliser a consisté à réaliser une différenciation entre les politiques de versement de dividendes aux actionnaires, selon un continuum reprenant trois positions allant de la confirmation à l’annulation en passant par la réduction. Une voie d’analyse complémentaire pourrait consister en la prise en considération du contexte de l’annonce : en effet, celle-ci peut s’opérer lors de la présentation des comptes annuels ou peut s’effectuer en-dehors de toute divulgation d’informations réglementées. Dans le premier cas de figure, l’information peut être </w:t>
      </w:r>
      <w:r w:rsidR="0098386C">
        <w:rPr>
          <w:sz w:val="26"/>
          <w:szCs w:val="26"/>
        </w:rPr>
        <w:t>« </w:t>
      </w:r>
      <w:r>
        <w:rPr>
          <w:sz w:val="26"/>
          <w:szCs w:val="26"/>
        </w:rPr>
        <w:t>noyée</w:t>
      </w:r>
      <w:r w:rsidR="0098386C">
        <w:rPr>
          <w:sz w:val="26"/>
          <w:szCs w:val="26"/>
        </w:rPr>
        <w:t> »</w:t>
      </w:r>
      <w:r>
        <w:rPr>
          <w:sz w:val="26"/>
          <w:szCs w:val="26"/>
        </w:rPr>
        <w:t xml:space="preserve"> dans un dédale </w:t>
      </w:r>
      <w:r w:rsidR="0098386C">
        <w:rPr>
          <w:sz w:val="26"/>
          <w:szCs w:val="26"/>
        </w:rPr>
        <w:t>d’autres données de nature quantitative ou qualitative. Dans le deuxième cas de figure, l’attention ne se porte</w:t>
      </w:r>
      <w:r w:rsidR="00991F7E">
        <w:rPr>
          <w:sz w:val="26"/>
          <w:szCs w:val="26"/>
        </w:rPr>
        <w:t>rait</w:t>
      </w:r>
      <w:r w:rsidR="0098386C">
        <w:rPr>
          <w:sz w:val="26"/>
          <w:szCs w:val="26"/>
        </w:rPr>
        <w:t xml:space="preserve"> que sur la politique de distribution sans être en mesure – aisément – de relier l’information à d’autres éléments de performance. </w:t>
      </w:r>
    </w:p>
    <w:p w:rsidR="0098386C" w:rsidRDefault="0098386C" w:rsidP="00581189">
      <w:pPr>
        <w:pStyle w:val="Paragraphedeliste"/>
        <w:jc w:val="both"/>
        <w:rPr>
          <w:sz w:val="26"/>
          <w:szCs w:val="26"/>
        </w:rPr>
      </w:pPr>
      <w:r>
        <w:rPr>
          <w:sz w:val="26"/>
          <w:szCs w:val="26"/>
        </w:rPr>
        <w:t>Une autre voie d’analyse pourrait consister en une analyse des effets boursiers en prenant en considérant la première information en provenance d’un acteur du secteur, en gardant à l’esprit que les autres entreprises pourraient, afin de ne pas</w:t>
      </w:r>
      <w:r w:rsidR="00793F33">
        <w:rPr>
          <w:sz w:val="26"/>
          <w:szCs w:val="26"/>
        </w:rPr>
        <w:t xml:space="preserve"> se marginaliser, simplement </w:t>
      </w:r>
      <w:r>
        <w:rPr>
          <w:sz w:val="26"/>
          <w:szCs w:val="26"/>
        </w:rPr>
        <w:t>co</w:t>
      </w:r>
      <w:r w:rsidR="0031514E">
        <w:rPr>
          <w:sz w:val="26"/>
          <w:szCs w:val="26"/>
        </w:rPr>
        <w:t xml:space="preserve">ller aux décisions prises par le premier </w:t>
      </w:r>
      <w:r>
        <w:rPr>
          <w:sz w:val="26"/>
          <w:szCs w:val="26"/>
        </w:rPr>
        <w:t>fournisseur d’information</w:t>
      </w:r>
      <w:r w:rsidR="0031514E">
        <w:rPr>
          <w:sz w:val="26"/>
          <w:szCs w:val="26"/>
        </w:rPr>
        <w:t>s</w:t>
      </w:r>
      <w:r>
        <w:rPr>
          <w:sz w:val="26"/>
          <w:szCs w:val="26"/>
        </w:rPr>
        <w:t xml:space="preserve">. Il s’agirait dès lors de travailler dans une logique de benchmarking en observant le choix retenu par la première entreprise qui informe. Dans cette perspective, </w:t>
      </w:r>
      <w:r w:rsidR="00BE624B">
        <w:rPr>
          <w:sz w:val="26"/>
          <w:szCs w:val="26"/>
        </w:rPr>
        <w:t xml:space="preserve">après l’avertissement d’une réduction par Hermès des dividendes versés, </w:t>
      </w:r>
      <w:r>
        <w:rPr>
          <w:sz w:val="26"/>
          <w:szCs w:val="26"/>
        </w:rPr>
        <w:t xml:space="preserve">les </w:t>
      </w:r>
      <w:r w:rsidR="00BE624B">
        <w:rPr>
          <w:sz w:val="26"/>
          <w:szCs w:val="26"/>
        </w:rPr>
        <w:t xml:space="preserve">autres </w:t>
      </w:r>
      <w:r>
        <w:rPr>
          <w:sz w:val="26"/>
          <w:szCs w:val="26"/>
        </w:rPr>
        <w:t>entrepri</w:t>
      </w:r>
      <w:r w:rsidR="00BE624B">
        <w:rPr>
          <w:sz w:val="26"/>
          <w:szCs w:val="26"/>
        </w:rPr>
        <w:t xml:space="preserve">ses du secteur du luxe de l’indice </w:t>
      </w:r>
      <w:r w:rsidR="00FC04EA">
        <w:rPr>
          <w:sz w:val="26"/>
          <w:szCs w:val="26"/>
        </w:rPr>
        <w:t xml:space="preserve">considéré </w:t>
      </w:r>
      <w:r w:rsidR="00BE624B">
        <w:rPr>
          <w:sz w:val="26"/>
          <w:szCs w:val="26"/>
        </w:rPr>
        <w:t>(</w:t>
      </w:r>
      <w:r>
        <w:rPr>
          <w:sz w:val="26"/>
          <w:szCs w:val="26"/>
        </w:rPr>
        <w:t>Kering, LVMH, voire L’Oréal)</w:t>
      </w:r>
      <w:r w:rsidR="00BE624B">
        <w:rPr>
          <w:sz w:val="26"/>
          <w:szCs w:val="26"/>
        </w:rPr>
        <w:t xml:space="preserve"> </w:t>
      </w:r>
      <w:r>
        <w:rPr>
          <w:sz w:val="26"/>
          <w:szCs w:val="26"/>
        </w:rPr>
        <w:t xml:space="preserve">ont décidé </w:t>
      </w:r>
      <w:r w:rsidR="00BE624B">
        <w:rPr>
          <w:sz w:val="26"/>
          <w:szCs w:val="26"/>
        </w:rPr>
        <w:t>de modifier dans le même sens leur politique de distribution</w:t>
      </w:r>
      <w:r w:rsidR="00991F7E">
        <w:rPr>
          <w:sz w:val="26"/>
          <w:szCs w:val="26"/>
        </w:rPr>
        <w:t>, même si le lien de cause à effet n’est pas établi</w:t>
      </w:r>
      <w:r>
        <w:rPr>
          <w:sz w:val="26"/>
          <w:szCs w:val="26"/>
        </w:rPr>
        <w:t xml:space="preserve">. On </w:t>
      </w:r>
      <w:r w:rsidR="00492EFD">
        <w:rPr>
          <w:sz w:val="26"/>
          <w:szCs w:val="26"/>
        </w:rPr>
        <w:t xml:space="preserve">pourrait bien évidemment </w:t>
      </w:r>
      <w:r>
        <w:rPr>
          <w:sz w:val="26"/>
          <w:szCs w:val="26"/>
        </w:rPr>
        <w:t xml:space="preserve">objecter que ces entreprises </w:t>
      </w:r>
      <w:r w:rsidR="00492EFD">
        <w:rPr>
          <w:sz w:val="26"/>
          <w:szCs w:val="26"/>
        </w:rPr>
        <w:t xml:space="preserve">appartiennent à un secteur d’activités bien particulier et qu’elles </w:t>
      </w:r>
      <w:r>
        <w:rPr>
          <w:sz w:val="26"/>
          <w:szCs w:val="26"/>
        </w:rPr>
        <w:t>n’</w:t>
      </w:r>
      <w:r w:rsidR="00492EFD">
        <w:rPr>
          <w:sz w:val="26"/>
          <w:szCs w:val="26"/>
        </w:rPr>
        <w:t>avaient pas de raison</w:t>
      </w:r>
      <w:r>
        <w:rPr>
          <w:sz w:val="26"/>
          <w:szCs w:val="26"/>
        </w:rPr>
        <w:t xml:space="preserve"> de supprimer leurs dividendes</w:t>
      </w:r>
      <w:r w:rsidR="00FC04EA">
        <w:rPr>
          <w:sz w:val="26"/>
          <w:szCs w:val="26"/>
        </w:rPr>
        <w:t xml:space="preserve"> (elles auraient certainement pu aisément les maintenir)</w:t>
      </w:r>
      <w:r>
        <w:rPr>
          <w:sz w:val="26"/>
          <w:szCs w:val="26"/>
        </w:rPr>
        <w:t xml:space="preserve"> dans la mesure où leurs niveaux de trésorerie leur permettaient de présenter une situation financière saine et robuste.  </w:t>
      </w:r>
    </w:p>
    <w:p w:rsidR="005D6A17" w:rsidRDefault="005D6A17" w:rsidP="00581189">
      <w:pPr>
        <w:pStyle w:val="Paragraphedeliste"/>
        <w:jc w:val="both"/>
        <w:rPr>
          <w:sz w:val="26"/>
          <w:szCs w:val="26"/>
        </w:rPr>
      </w:pPr>
      <w:r>
        <w:rPr>
          <w:sz w:val="26"/>
          <w:szCs w:val="26"/>
        </w:rPr>
        <w:t>Une dernière voie de recherche pourrait envisager de procéder à une scission des annonc</w:t>
      </w:r>
      <w:r w:rsidR="00991F7E">
        <w:rPr>
          <w:sz w:val="26"/>
          <w:szCs w:val="26"/>
        </w:rPr>
        <w:t>es en fonction de la fréquence</w:t>
      </w:r>
      <w:r>
        <w:rPr>
          <w:sz w:val="26"/>
          <w:szCs w:val="26"/>
        </w:rPr>
        <w:t xml:space="preserve"> du versement des dividendes, la politique de distribution pouvant présenter des niveaux plus élevés de flexibilité</w:t>
      </w:r>
      <w:r w:rsidR="00BF5EDC">
        <w:rPr>
          <w:sz w:val="26"/>
          <w:szCs w:val="26"/>
        </w:rPr>
        <w:t xml:space="preserve"> si les versements sont effectu</w:t>
      </w:r>
      <w:r>
        <w:rPr>
          <w:sz w:val="26"/>
          <w:szCs w:val="26"/>
        </w:rPr>
        <w:t>és de manière trimestrielle.</w:t>
      </w:r>
      <w:r w:rsidR="00AF7F9D">
        <w:rPr>
          <w:sz w:val="26"/>
          <w:szCs w:val="26"/>
        </w:rPr>
        <w:t xml:space="preserve"> D’autres variables de contrôle pourraient être également introduite</w:t>
      </w:r>
      <w:r w:rsidR="00F12E13">
        <w:rPr>
          <w:sz w:val="26"/>
          <w:szCs w:val="26"/>
        </w:rPr>
        <w:t>s</w:t>
      </w:r>
      <w:r w:rsidR="00AF7F9D">
        <w:rPr>
          <w:sz w:val="26"/>
          <w:szCs w:val="26"/>
        </w:rPr>
        <w:t> : taille des entreprises, PER, variations de la valorisation boursière dans l’année précédant l’annonce de l’événement.</w:t>
      </w:r>
      <w:r>
        <w:rPr>
          <w:sz w:val="26"/>
          <w:szCs w:val="26"/>
        </w:rPr>
        <w:t xml:space="preserve"> </w:t>
      </w:r>
    </w:p>
    <w:p w:rsidR="009E7608" w:rsidRDefault="007A1C80" w:rsidP="003A1FE3">
      <w:pPr>
        <w:pStyle w:val="Paragraphedeliste"/>
        <w:jc w:val="both"/>
        <w:rPr>
          <w:sz w:val="26"/>
          <w:szCs w:val="26"/>
        </w:rPr>
      </w:pPr>
      <w:r>
        <w:rPr>
          <w:sz w:val="26"/>
          <w:szCs w:val="26"/>
        </w:rPr>
        <w:t>En tout état de cause, en fonction de la turbulence des marchés boursiers</w:t>
      </w:r>
      <w:r w:rsidR="00BE624B">
        <w:rPr>
          <w:sz w:val="26"/>
          <w:szCs w:val="26"/>
        </w:rPr>
        <w:t xml:space="preserve"> et des effets systémiques repérés ou anticipés (dans certains secteurs, c’est toute la filiè</w:t>
      </w:r>
      <w:r w:rsidR="0031514E">
        <w:rPr>
          <w:sz w:val="26"/>
          <w:szCs w:val="26"/>
        </w:rPr>
        <w:t>re de production qui a été rompu</w:t>
      </w:r>
      <w:r w:rsidR="00BE624B">
        <w:rPr>
          <w:sz w:val="26"/>
          <w:szCs w:val="26"/>
        </w:rPr>
        <w:t>e)</w:t>
      </w:r>
      <w:r>
        <w:rPr>
          <w:sz w:val="26"/>
          <w:szCs w:val="26"/>
        </w:rPr>
        <w:t xml:space="preserve">, les perspectives futures d’analyse revêtent un caractère pléthorique et risquent de mettre à mal les équilibres intellectuels au sein desquels nous avons </w:t>
      </w:r>
      <w:r w:rsidR="00BE624B">
        <w:rPr>
          <w:sz w:val="26"/>
          <w:szCs w:val="26"/>
        </w:rPr>
        <w:t xml:space="preserve">eu </w:t>
      </w:r>
      <w:r>
        <w:rPr>
          <w:sz w:val="26"/>
          <w:szCs w:val="26"/>
        </w:rPr>
        <w:t>tendance</w:t>
      </w:r>
      <w:r w:rsidR="00363338">
        <w:rPr>
          <w:sz w:val="26"/>
          <w:szCs w:val="26"/>
        </w:rPr>
        <w:t>,</w:t>
      </w:r>
      <w:r>
        <w:rPr>
          <w:sz w:val="26"/>
          <w:szCs w:val="26"/>
        </w:rPr>
        <w:t xml:space="preserve"> à </w:t>
      </w:r>
      <w:r w:rsidR="00363338">
        <w:rPr>
          <w:sz w:val="26"/>
          <w:szCs w:val="26"/>
        </w:rPr>
        <w:t xml:space="preserve">tort ou à raison, à </w:t>
      </w:r>
      <w:r>
        <w:rPr>
          <w:sz w:val="26"/>
          <w:szCs w:val="26"/>
        </w:rPr>
        <w:t>nous complaire.</w:t>
      </w:r>
      <w:r w:rsidR="00FC04EA">
        <w:rPr>
          <w:sz w:val="26"/>
          <w:szCs w:val="26"/>
        </w:rPr>
        <w:t xml:space="preserve"> </w:t>
      </w:r>
    </w:p>
    <w:p w:rsidR="003A1FE3" w:rsidRPr="003A1FE3" w:rsidRDefault="003A1FE3" w:rsidP="003A1FE3">
      <w:pPr>
        <w:pStyle w:val="Paragraphedeliste"/>
        <w:jc w:val="both"/>
        <w:rPr>
          <w:sz w:val="26"/>
          <w:szCs w:val="26"/>
        </w:rPr>
      </w:pPr>
    </w:p>
    <w:p w:rsidR="00D64553" w:rsidRDefault="00D64553" w:rsidP="002F3780">
      <w:pPr>
        <w:pStyle w:val="Paragraphedeliste"/>
        <w:numPr>
          <w:ilvl w:val="0"/>
          <w:numId w:val="1"/>
        </w:numPr>
        <w:jc w:val="both"/>
        <w:rPr>
          <w:sz w:val="28"/>
          <w:szCs w:val="28"/>
          <w:u w:val="single"/>
        </w:rPr>
      </w:pPr>
      <w:r w:rsidRPr="002F3780">
        <w:rPr>
          <w:sz w:val="28"/>
          <w:szCs w:val="28"/>
          <w:u w:val="single"/>
        </w:rPr>
        <w:t>Références bibliographiques</w:t>
      </w:r>
    </w:p>
    <w:p w:rsidR="00E668EB" w:rsidRDefault="00E668EB" w:rsidP="00927EB6">
      <w:pPr>
        <w:spacing w:before="100" w:beforeAutospacing="1" w:after="100" w:afterAutospacing="1" w:line="240" w:lineRule="auto"/>
        <w:ind w:left="708"/>
        <w:jc w:val="both"/>
        <w:rPr>
          <w:rFonts w:eastAsia="Times New Roman" w:cstheme="minorHAnsi"/>
          <w:sz w:val="26"/>
          <w:szCs w:val="26"/>
          <w:lang w:eastAsia="fr-BE"/>
        </w:rPr>
      </w:pPr>
      <w:r w:rsidRPr="00E668EB">
        <w:rPr>
          <w:rFonts w:eastAsia="Times New Roman" w:cstheme="minorHAnsi"/>
          <w:sz w:val="26"/>
          <w:szCs w:val="26"/>
          <w:lang w:eastAsia="fr-BE"/>
        </w:rPr>
        <w:t xml:space="preserve">Barros V., Matos P., Sarmento J. (2020), « What firm’s characteristics drive the dividend policy? A mixed-method study on the Euronext stock exchange », </w:t>
      </w:r>
      <w:r w:rsidRPr="00E668EB">
        <w:rPr>
          <w:rFonts w:eastAsia="Times New Roman" w:cstheme="minorHAnsi"/>
          <w:i/>
          <w:sz w:val="26"/>
          <w:szCs w:val="26"/>
          <w:lang w:eastAsia="fr-BE"/>
        </w:rPr>
        <w:t>Journal of Business Research</w:t>
      </w:r>
      <w:r w:rsidRPr="00E668EB">
        <w:rPr>
          <w:rFonts w:eastAsia="Times New Roman" w:cstheme="minorHAnsi"/>
          <w:sz w:val="26"/>
          <w:szCs w:val="26"/>
          <w:lang w:eastAsia="fr-BE"/>
        </w:rPr>
        <w:t>, Vol.115, pp.365-377</w:t>
      </w:r>
    </w:p>
    <w:p w:rsidR="00EE5091" w:rsidRPr="00EE5091" w:rsidRDefault="00EE5091" w:rsidP="00927EB6">
      <w:pPr>
        <w:spacing w:before="100" w:beforeAutospacing="1" w:after="100" w:afterAutospacing="1" w:line="240" w:lineRule="auto"/>
        <w:ind w:left="708"/>
        <w:jc w:val="both"/>
        <w:rPr>
          <w:rFonts w:eastAsia="Times New Roman" w:cstheme="minorHAnsi"/>
          <w:sz w:val="26"/>
          <w:szCs w:val="26"/>
          <w:lang w:eastAsia="fr-BE"/>
        </w:rPr>
      </w:pPr>
      <w:r w:rsidRPr="00EE5091">
        <w:rPr>
          <w:rFonts w:eastAsia="Times New Roman" w:cstheme="minorHAnsi"/>
          <w:sz w:val="26"/>
          <w:szCs w:val="26"/>
          <w:lang w:eastAsia="fr-BE"/>
        </w:rPr>
        <w:t xml:space="preserve">Benlemlih M. (2019), « Corporate social responsibility and dividend policy », </w:t>
      </w:r>
      <w:r w:rsidRPr="00EE5091">
        <w:rPr>
          <w:rFonts w:eastAsia="Times New Roman" w:cstheme="minorHAnsi"/>
          <w:i/>
          <w:sz w:val="26"/>
          <w:szCs w:val="26"/>
          <w:lang w:eastAsia="fr-BE"/>
        </w:rPr>
        <w:t>Research in International Business and Finance</w:t>
      </w:r>
      <w:r w:rsidRPr="00EE5091">
        <w:rPr>
          <w:rFonts w:eastAsia="Times New Roman" w:cstheme="minorHAnsi"/>
          <w:sz w:val="26"/>
          <w:szCs w:val="26"/>
          <w:lang w:eastAsia="fr-BE"/>
        </w:rPr>
        <w:t>, Vol.47, pp.114-138</w:t>
      </w:r>
    </w:p>
    <w:p w:rsidR="004C72A9" w:rsidRPr="004C72A9" w:rsidRDefault="004C72A9" w:rsidP="004C72A9">
      <w:pPr>
        <w:spacing w:before="100" w:beforeAutospacing="1" w:after="100" w:afterAutospacing="1" w:line="240" w:lineRule="auto"/>
        <w:ind w:left="708"/>
        <w:jc w:val="both"/>
        <w:rPr>
          <w:rFonts w:ascii="Source Sans Pro" w:eastAsia="Times New Roman" w:hAnsi="Source Sans Pro" w:cs="Times New Roman"/>
          <w:sz w:val="26"/>
          <w:szCs w:val="26"/>
          <w:lang w:eastAsia="fr-BE"/>
        </w:rPr>
      </w:pPr>
      <w:r w:rsidRPr="004C72A9">
        <w:rPr>
          <w:rFonts w:ascii="Source Sans Pro" w:eastAsia="Times New Roman" w:hAnsi="Source Sans Pro" w:cs="Times New Roman"/>
          <w:sz w:val="26"/>
          <w:szCs w:val="26"/>
          <w:lang w:eastAsia="fr-BE"/>
        </w:rPr>
        <w:t xml:space="preserve">Benavides J., Berggrun L., Perafan H. (2016), « Dividend payout policies: Evidence from Latin America », </w:t>
      </w:r>
      <w:r w:rsidRPr="004C72A9">
        <w:rPr>
          <w:rFonts w:ascii="Source Sans Pro" w:eastAsia="Times New Roman" w:hAnsi="Source Sans Pro" w:cs="Times New Roman"/>
          <w:i/>
          <w:sz w:val="26"/>
          <w:szCs w:val="26"/>
          <w:lang w:eastAsia="fr-BE"/>
        </w:rPr>
        <w:t>Finance Research Letters</w:t>
      </w:r>
      <w:r w:rsidRPr="004C72A9">
        <w:rPr>
          <w:rFonts w:ascii="Source Sans Pro" w:eastAsia="Times New Roman" w:hAnsi="Source Sans Pro" w:cs="Times New Roman"/>
          <w:sz w:val="26"/>
          <w:szCs w:val="26"/>
          <w:lang w:eastAsia="fr-BE"/>
        </w:rPr>
        <w:t>, Vol.17, pp.197-210</w:t>
      </w:r>
    </w:p>
    <w:p w:rsidR="00F050BF" w:rsidRPr="00F050BF" w:rsidRDefault="00F050BF" w:rsidP="00F050BF">
      <w:pPr>
        <w:spacing w:before="100" w:beforeAutospacing="1" w:after="100" w:afterAutospacing="1" w:line="240" w:lineRule="auto"/>
        <w:ind w:left="708"/>
        <w:jc w:val="both"/>
        <w:rPr>
          <w:rFonts w:ascii="Source Sans Pro" w:eastAsia="Times New Roman" w:hAnsi="Source Sans Pro" w:cs="Times New Roman"/>
          <w:sz w:val="26"/>
          <w:szCs w:val="26"/>
          <w:lang w:eastAsia="fr-BE"/>
        </w:rPr>
      </w:pPr>
      <w:r w:rsidRPr="00F050BF">
        <w:rPr>
          <w:rFonts w:ascii="Source Sans Pro" w:eastAsia="Times New Roman" w:hAnsi="Source Sans Pro" w:cs="Times New Roman"/>
          <w:sz w:val="26"/>
          <w:szCs w:val="26"/>
          <w:lang w:eastAsia="fr-BE"/>
        </w:rPr>
        <w:t xml:space="preserve">Best R., Best R. (2001), « Prior Information and the Market Reaction to Dividend Changes », </w:t>
      </w:r>
      <w:r w:rsidRPr="00F050BF">
        <w:rPr>
          <w:rFonts w:ascii="Source Sans Pro" w:eastAsia="Times New Roman" w:hAnsi="Source Sans Pro" w:cs="Times New Roman"/>
          <w:i/>
          <w:sz w:val="26"/>
          <w:szCs w:val="26"/>
          <w:lang w:eastAsia="fr-BE"/>
        </w:rPr>
        <w:t>Review of Quantitative Finance and Accounting</w:t>
      </w:r>
      <w:r w:rsidRPr="00F050BF">
        <w:rPr>
          <w:rFonts w:ascii="Source Sans Pro" w:eastAsia="Times New Roman" w:hAnsi="Source Sans Pro" w:cs="Times New Roman"/>
          <w:sz w:val="26"/>
          <w:szCs w:val="26"/>
          <w:lang w:eastAsia="fr-BE"/>
        </w:rPr>
        <w:t>, Vol.17, pp.361-376</w:t>
      </w:r>
    </w:p>
    <w:p w:rsidR="00A43F40" w:rsidRDefault="00A43F40" w:rsidP="004C72A9">
      <w:pPr>
        <w:spacing w:before="100" w:beforeAutospacing="1" w:after="100" w:afterAutospacing="1" w:line="240" w:lineRule="auto"/>
        <w:ind w:left="708"/>
        <w:jc w:val="both"/>
        <w:rPr>
          <w:rFonts w:eastAsia="Times New Roman" w:cstheme="minorHAnsi"/>
          <w:sz w:val="26"/>
          <w:szCs w:val="26"/>
          <w:lang w:eastAsia="fr-BE"/>
        </w:rPr>
      </w:pPr>
      <w:r w:rsidRPr="004C72A9">
        <w:rPr>
          <w:rFonts w:eastAsia="Times New Roman" w:cstheme="minorHAnsi"/>
          <w:sz w:val="26"/>
          <w:szCs w:val="26"/>
          <w:lang w:eastAsia="fr-BE"/>
        </w:rPr>
        <w:t xml:space="preserve">Booth L., Zhou J., 2017, « Dividend policy: A selective review of results from around the world », </w:t>
      </w:r>
      <w:r w:rsidRPr="004C72A9">
        <w:rPr>
          <w:rFonts w:eastAsia="Times New Roman" w:cstheme="minorHAnsi"/>
          <w:i/>
          <w:sz w:val="26"/>
          <w:szCs w:val="26"/>
          <w:lang w:eastAsia="fr-BE"/>
        </w:rPr>
        <w:t>Global Finance Journal</w:t>
      </w:r>
      <w:r w:rsidRPr="004C72A9">
        <w:rPr>
          <w:rFonts w:eastAsia="Times New Roman" w:cstheme="minorHAnsi"/>
          <w:sz w:val="26"/>
          <w:szCs w:val="26"/>
          <w:lang w:eastAsia="fr-BE"/>
        </w:rPr>
        <w:t>, Vol.34, pp.1-15</w:t>
      </w:r>
    </w:p>
    <w:p w:rsidR="009675DF" w:rsidRPr="009675DF" w:rsidRDefault="009675DF" w:rsidP="009675DF">
      <w:pPr>
        <w:spacing w:before="100" w:beforeAutospacing="1" w:after="100" w:afterAutospacing="1" w:line="240" w:lineRule="auto"/>
        <w:ind w:left="708"/>
        <w:jc w:val="both"/>
        <w:rPr>
          <w:rFonts w:eastAsia="Times New Roman" w:cstheme="minorHAnsi"/>
          <w:sz w:val="26"/>
          <w:szCs w:val="26"/>
          <w:lang w:eastAsia="fr-BE"/>
        </w:rPr>
      </w:pPr>
      <w:r w:rsidRPr="009675DF">
        <w:rPr>
          <w:rFonts w:eastAsia="Times New Roman" w:cstheme="minorHAnsi"/>
          <w:sz w:val="26"/>
          <w:szCs w:val="26"/>
          <w:lang w:eastAsia="fr-BE"/>
        </w:rPr>
        <w:t>Czapiewski L., Kubiak J. (2018), « Investor Reactions to Dividend Announcements of Companies Listed on the Warsaw Stock Exchange ». In: Choudhry T., Mizerka J. (eds) Contemporary Trends in Accounting, Finance and Financial Institutions. Springer Proceedings in Business and Economics. Springer, Cham</w:t>
      </w:r>
    </w:p>
    <w:p w:rsidR="005F7EDC" w:rsidRDefault="005F7EDC" w:rsidP="00D82DDC">
      <w:pPr>
        <w:spacing w:before="100" w:beforeAutospacing="1" w:after="100" w:afterAutospacing="1" w:line="240" w:lineRule="auto"/>
        <w:ind w:left="708"/>
        <w:jc w:val="both"/>
        <w:rPr>
          <w:rFonts w:eastAsia="Times New Roman" w:cstheme="minorHAnsi"/>
          <w:sz w:val="26"/>
          <w:szCs w:val="26"/>
          <w:lang w:eastAsia="fr-BE"/>
        </w:rPr>
      </w:pPr>
      <w:r w:rsidRPr="004C72A9">
        <w:rPr>
          <w:rFonts w:eastAsia="Times New Roman" w:cstheme="minorHAnsi"/>
          <w:sz w:val="26"/>
          <w:szCs w:val="26"/>
          <w:lang w:eastAsia="fr-BE"/>
        </w:rPr>
        <w:t>Fatemi A., Bildik R. (2012), « Fatemi A., Bildik R. (2012), « Yes, dividends are disappearing</w:t>
      </w:r>
      <w:r w:rsidR="00EC5FED" w:rsidRPr="004C72A9">
        <w:rPr>
          <w:rFonts w:eastAsia="Times New Roman" w:cstheme="minorHAnsi"/>
          <w:sz w:val="26"/>
          <w:szCs w:val="26"/>
          <w:lang w:eastAsia="fr-BE"/>
        </w:rPr>
        <w:t xml:space="preserve"> </w:t>
      </w:r>
      <w:r w:rsidRPr="004C72A9">
        <w:rPr>
          <w:rFonts w:eastAsia="Times New Roman" w:cstheme="minorHAnsi"/>
          <w:sz w:val="26"/>
          <w:szCs w:val="26"/>
          <w:lang w:eastAsia="fr-BE"/>
        </w:rPr>
        <w:t xml:space="preserve">: Worldwide evidence », </w:t>
      </w:r>
      <w:r w:rsidRPr="004C72A9">
        <w:rPr>
          <w:rFonts w:eastAsia="Times New Roman" w:cstheme="minorHAnsi"/>
          <w:i/>
          <w:sz w:val="26"/>
          <w:szCs w:val="26"/>
          <w:lang w:eastAsia="fr-BE"/>
        </w:rPr>
        <w:t>Journal of Banking &amp; Finance</w:t>
      </w:r>
      <w:r w:rsidRPr="004C72A9">
        <w:rPr>
          <w:rFonts w:eastAsia="Times New Roman" w:cstheme="minorHAnsi"/>
          <w:sz w:val="26"/>
          <w:szCs w:val="26"/>
          <w:lang w:eastAsia="fr-BE"/>
        </w:rPr>
        <w:t>, Vol.36, n°3, pp.662-677</w:t>
      </w:r>
    </w:p>
    <w:p w:rsidR="005D75E6" w:rsidRDefault="005D75E6" w:rsidP="005D75E6">
      <w:pPr>
        <w:spacing w:before="100" w:beforeAutospacing="1" w:after="100" w:afterAutospacing="1" w:line="240" w:lineRule="auto"/>
        <w:ind w:left="708"/>
        <w:jc w:val="both"/>
        <w:rPr>
          <w:rFonts w:eastAsia="Times New Roman" w:cstheme="minorHAnsi"/>
          <w:sz w:val="26"/>
          <w:szCs w:val="26"/>
          <w:lang w:eastAsia="fr-BE"/>
        </w:rPr>
      </w:pPr>
      <w:r w:rsidRPr="005D75E6">
        <w:rPr>
          <w:rFonts w:eastAsia="Times New Roman" w:cstheme="minorHAnsi"/>
          <w:sz w:val="26"/>
          <w:szCs w:val="26"/>
          <w:lang w:eastAsia="fr-BE"/>
        </w:rPr>
        <w:t xml:space="preserve">Felimban, R., Floros, C. and Nguyen, A.-N. (2018), "The impact of dividend announcements on share price and trading volume: Empirical evidence from the Gulf Cooperation Council (GCC) countries", </w:t>
      </w:r>
      <w:r w:rsidRPr="005D75E6">
        <w:rPr>
          <w:rFonts w:eastAsia="Times New Roman" w:cstheme="minorHAnsi"/>
          <w:i/>
          <w:sz w:val="26"/>
          <w:szCs w:val="26"/>
          <w:lang w:eastAsia="fr-BE"/>
        </w:rPr>
        <w:t>Journal of Economic Studies</w:t>
      </w:r>
      <w:r w:rsidRPr="005D75E6">
        <w:rPr>
          <w:rFonts w:eastAsia="Times New Roman" w:cstheme="minorHAnsi"/>
          <w:sz w:val="26"/>
          <w:szCs w:val="26"/>
          <w:lang w:eastAsia="fr-BE"/>
        </w:rPr>
        <w:t>, Vol. 45</w:t>
      </w:r>
      <w:r>
        <w:rPr>
          <w:rFonts w:eastAsia="Times New Roman" w:cstheme="minorHAnsi"/>
          <w:sz w:val="26"/>
          <w:szCs w:val="26"/>
          <w:lang w:eastAsia="fr-BE"/>
        </w:rPr>
        <w:t>, n°</w:t>
      </w:r>
      <w:r w:rsidRPr="005D75E6">
        <w:rPr>
          <w:rFonts w:eastAsia="Times New Roman" w:cstheme="minorHAnsi"/>
          <w:sz w:val="26"/>
          <w:szCs w:val="26"/>
          <w:lang w:eastAsia="fr-BE"/>
        </w:rPr>
        <w:t>2, pp. 210-230</w:t>
      </w:r>
    </w:p>
    <w:p w:rsidR="009B60D6" w:rsidRPr="009B60D6" w:rsidRDefault="009B60D6" w:rsidP="009B60D6">
      <w:pPr>
        <w:spacing w:before="100" w:beforeAutospacing="1" w:after="100" w:afterAutospacing="1" w:line="240" w:lineRule="auto"/>
        <w:ind w:left="708"/>
        <w:jc w:val="both"/>
        <w:rPr>
          <w:rFonts w:eastAsia="Times New Roman" w:cstheme="minorHAnsi"/>
          <w:sz w:val="26"/>
          <w:szCs w:val="26"/>
          <w:lang w:eastAsia="fr-BE"/>
        </w:rPr>
      </w:pPr>
      <w:r w:rsidRPr="009B60D6">
        <w:rPr>
          <w:rFonts w:eastAsia="Times New Roman" w:cstheme="minorHAnsi"/>
          <w:sz w:val="26"/>
          <w:szCs w:val="26"/>
          <w:lang w:eastAsia="fr-BE"/>
        </w:rPr>
        <w:t xml:space="preserve">Grennan J. (2019), « Dividend payments as a response to peer influence », </w:t>
      </w:r>
      <w:r w:rsidRPr="009B60D6">
        <w:rPr>
          <w:rFonts w:eastAsia="Times New Roman" w:cstheme="minorHAnsi"/>
          <w:i/>
          <w:sz w:val="26"/>
          <w:szCs w:val="26"/>
          <w:lang w:eastAsia="fr-BE"/>
        </w:rPr>
        <w:t>Journal of Financial Economics</w:t>
      </w:r>
      <w:r w:rsidRPr="009B60D6">
        <w:rPr>
          <w:rFonts w:eastAsia="Times New Roman" w:cstheme="minorHAnsi"/>
          <w:sz w:val="26"/>
          <w:szCs w:val="26"/>
          <w:lang w:eastAsia="fr-BE"/>
        </w:rPr>
        <w:t>, Vol.131, n°3, pp.549-570</w:t>
      </w:r>
    </w:p>
    <w:p w:rsidR="004D3563" w:rsidRDefault="004D3563" w:rsidP="009B60D6">
      <w:pPr>
        <w:ind w:left="708"/>
        <w:jc w:val="both"/>
        <w:rPr>
          <w:sz w:val="26"/>
          <w:szCs w:val="26"/>
        </w:rPr>
      </w:pPr>
      <w:r w:rsidRPr="004D3563">
        <w:rPr>
          <w:sz w:val="26"/>
          <w:szCs w:val="26"/>
        </w:rPr>
        <w:t xml:space="preserve">Ham C., Kaplan Z., Leary M. (2020), « Do dividends convey information about future earnings? », </w:t>
      </w:r>
      <w:r w:rsidRPr="004D3563">
        <w:rPr>
          <w:i/>
          <w:sz w:val="26"/>
          <w:szCs w:val="26"/>
        </w:rPr>
        <w:t>Journal of Financial Economics</w:t>
      </w:r>
      <w:r w:rsidRPr="004D3563">
        <w:rPr>
          <w:sz w:val="26"/>
          <w:szCs w:val="26"/>
        </w:rPr>
        <w:t>, Vol.136, n°2, pp.547-570</w:t>
      </w:r>
    </w:p>
    <w:p w:rsidR="003C4CA8" w:rsidRPr="003C4CA8" w:rsidRDefault="003C4CA8" w:rsidP="003C4CA8">
      <w:pPr>
        <w:spacing w:before="100" w:beforeAutospacing="1" w:after="100" w:afterAutospacing="1" w:line="240" w:lineRule="auto"/>
        <w:ind w:left="708"/>
        <w:jc w:val="both"/>
        <w:rPr>
          <w:rFonts w:eastAsia="Times New Roman" w:cstheme="minorHAnsi"/>
          <w:sz w:val="26"/>
          <w:szCs w:val="26"/>
          <w:lang w:eastAsia="fr-BE"/>
        </w:rPr>
      </w:pPr>
      <w:r w:rsidRPr="003C4CA8">
        <w:rPr>
          <w:rFonts w:eastAsia="Times New Roman" w:cstheme="minorHAnsi"/>
          <w:sz w:val="26"/>
          <w:szCs w:val="26"/>
          <w:lang w:eastAsia="fr-BE"/>
        </w:rPr>
        <w:t xml:space="preserve">Jabbouri I. (2016), « Determinants of corporate dividend policy in emerging markets: Evidence from MENA stock markets », </w:t>
      </w:r>
      <w:r w:rsidRPr="003C4CA8">
        <w:rPr>
          <w:rFonts w:eastAsia="Times New Roman" w:cstheme="minorHAnsi"/>
          <w:i/>
          <w:sz w:val="26"/>
          <w:szCs w:val="26"/>
          <w:lang w:eastAsia="fr-BE"/>
        </w:rPr>
        <w:t>Research in International Business and Finance</w:t>
      </w:r>
      <w:r w:rsidRPr="003C4CA8">
        <w:rPr>
          <w:rFonts w:eastAsia="Times New Roman" w:cstheme="minorHAnsi"/>
          <w:sz w:val="26"/>
          <w:szCs w:val="26"/>
          <w:lang w:eastAsia="fr-BE"/>
        </w:rPr>
        <w:t>, Vol.37, pp.283-298</w:t>
      </w:r>
    </w:p>
    <w:p w:rsidR="006F4B57" w:rsidRDefault="006F4B57" w:rsidP="006F4B57">
      <w:pPr>
        <w:ind w:left="708"/>
        <w:jc w:val="both"/>
        <w:rPr>
          <w:sz w:val="26"/>
          <w:szCs w:val="26"/>
        </w:rPr>
      </w:pPr>
      <w:r w:rsidRPr="006F4B57">
        <w:rPr>
          <w:sz w:val="26"/>
          <w:szCs w:val="26"/>
        </w:rPr>
        <w:t>Khalil Al-Shattarat W., Khalil Al-Shattarat B., Hamed R. (2018)</w:t>
      </w:r>
      <w:r w:rsidR="00B232EC">
        <w:rPr>
          <w:sz w:val="26"/>
          <w:szCs w:val="26"/>
        </w:rPr>
        <w:t xml:space="preserve">, </w:t>
      </w:r>
      <w:r w:rsidRPr="006F4B57">
        <w:rPr>
          <w:sz w:val="26"/>
          <w:szCs w:val="26"/>
        </w:rPr>
        <w:t>« Do dividends announcements signal future earnings changes for Jordanian firms? »</w:t>
      </w:r>
      <w:r>
        <w:rPr>
          <w:sz w:val="26"/>
          <w:szCs w:val="26"/>
        </w:rPr>
        <w:t xml:space="preserve">, </w:t>
      </w:r>
      <w:r w:rsidRPr="00EC5FED">
        <w:rPr>
          <w:i/>
          <w:sz w:val="26"/>
          <w:szCs w:val="26"/>
        </w:rPr>
        <w:t>Journal of Financial Reporting and Accounting</w:t>
      </w:r>
      <w:r w:rsidRPr="006F4B57">
        <w:rPr>
          <w:sz w:val="26"/>
          <w:szCs w:val="26"/>
        </w:rPr>
        <w:t>, Vol.16, n°3</w:t>
      </w:r>
    </w:p>
    <w:p w:rsidR="0014126B" w:rsidRPr="0014126B" w:rsidRDefault="0014126B" w:rsidP="0014126B">
      <w:pPr>
        <w:spacing w:before="100" w:beforeAutospacing="1" w:after="100" w:afterAutospacing="1" w:line="240" w:lineRule="auto"/>
        <w:ind w:left="708"/>
        <w:jc w:val="both"/>
        <w:rPr>
          <w:rFonts w:eastAsia="Times New Roman" w:cstheme="minorHAnsi"/>
          <w:sz w:val="26"/>
          <w:szCs w:val="26"/>
          <w:lang w:eastAsia="fr-BE"/>
        </w:rPr>
      </w:pPr>
      <w:r w:rsidRPr="0014126B">
        <w:rPr>
          <w:rFonts w:eastAsia="Times New Roman" w:cstheme="minorHAnsi"/>
          <w:sz w:val="26"/>
          <w:szCs w:val="26"/>
          <w:lang w:eastAsia="fr-BE"/>
        </w:rPr>
        <w:t>Khanal A., Mishra A. (2017), « Stock price reactions to stock dividend announcements</w:t>
      </w:r>
      <w:r w:rsidR="009B60D6">
        <w:rPr>
          <w:rFonts w:eastAsia="Times New Roman" w:cstheme="minorHAnsi"/>
          <w:sz w:val="26"/>
          <w:szCs w:val="26"/>
          <w:lang w:eastAsia="fr-BE"/>
        </w:rPr>
        <w:t xml:space="preserve"> </w:t>
      </w:r>
      <w:r w:rsidRPr="0014126B">
        <w:rPr>
          <w:rFonts w:eastAsia="Times New Roman" w:cstheme="minorHAnsi"/>
          <w:sz w:val="26"/>
          <w:szCs w:val="26"/>
          <w:lang w:eastAsia="fr-BE"/>
        </w:rPr>
        <w:t xml:space="preserve">: A case from a sluggish economic period », The North American </w:t>
      </w:r>
      <w:r w:rsidRPr="0014126B">
        <w:rPr>
          <w:rFonts w:eastAsia="Times New Roman" w:cstheme="minorHAnsi"/>
          <w:i/>
          <w:sz w:val="26"/>
          <w:szCs w:val="26"/>
          <w:lang w:eastAsia="fr-BE"/>
        </w:rPr>
        <w:t>Journal of Economics and Finance</w:t>
      </w:r>
      <w:r w:rsidRPr="0014126B">
        <w:rPr>
          <w:rFonts w:eastAsia="Times New Roman" w:cstheme="minorHAnsi"/>
          <w:sz w:val="26"/>
          <w:szCs w:val="26"/>
          <w:lang w:eastAsia="fr-BE"/>
        </w:rPr>
        <w:t>, Vol.42, pp.338-345</w:t>
      </w:r>
    </w:p>
    <w:p w:rsidR="00DB10ED" w:rsidRDefault="00DB10ED" w:rsidP="005D75E6">
      <w:pPr>
        <w:ind w:left="708"/>
        <w:jc w:val="both"/>
        <w:rPr>
          <w:sz w:val="26"/>
          <w:szCs w:val="26"/>
        </w:rPr>
      </w:pPr>
      <w:r>
        <w:rPr>
          <w:sz w:val="26"/>
          <w:szCs w:val="26"/>
        </w:rPr>
        <w:t>Lofti T. (2018), « </w:t>
      </w:r>
      <w:r w:rsidRPr="00DB10ED">
        <w:rPr>
          <w:sz w:val="26"/>
          <w:szCs w:val="26"/>
        </w:rPr>
        <w:t>Dividend and Stock Repurchase Announcement in Tunisia: A Signaling Approach</w:t>
      </w:r>
      <w:r>
        <w:rPr>
          <w:sz w:val="26"/>
          <w:szCs w:val="26"/>
        </w:rPr>
        <w:t> »,</w:t>
      </w:r>
      <w:r w:rsidRPr="00DB10ED">
        <w:rPr>
          <w:sz w:val="26"/>
          <w:szCs w:val="26"/>
        </w:rPr>
        <w:t xml:space="preserve"> </w:t>
      </w:r>
      <w:r w:rsidRPr="00DB10ED">
        <w:rPr>
          <w:i/>
          <w:sz w:val="26"/>
          <w:szCs w:val="26"/>
        </w:rPr>
        <w:t>Global Journal of Management and Business</w:t>
      </w:r>
      <w:r w:rsidRPr="00DB10ED">
        <w:rPr>
          <w:sz w:val="26"/>
          <w:szCs w:val="26"/>
        </w:rPr>
        <w:t xml:space="preserve"> </w:t>
      </w:r>
      <w:r>
        <w:rPr>
          <w:sz w:val="26"/>
          <w:szCs w:val="26"/>
        </w:rPr>
        <w:t xml:space="preserve">, </w:t>
      </w:r>
      <w:r w:rsidRPr="00DB10ED">
        <w:rPr>
          <w:sz w:val="26"/>
          <w:szCs w:val="26"/>
        </w:rPr>
        <w:t>Vol</w:t>
      </w:r>
      <w:r>
        <w:rPr>
          <w:sz w:val="26"/>
          <w:szCs w:val="26"/>
        </w:rPr>
        <w:t xml:space="preserve">. 18, n°1 </w:t>
      </w:r>
    </w:p>
    <w:p w:rsidR="00B232EC" w:rsidRDefault="00B232EC" w:rsidP="00B232EC">
      <w:pPr>
        <w:ind w:left="708"/>
        <w:jc w:val="both"/>
        <w:rPr>
          <w:sz w:val="26"/>
          <w:szCs w:val="26"/>
        </w:rPr>
      </w:pPr>
      <w:r>
        <w:rPr>
          <w:sz w:val="26"/>
          <w:szCs w:val="26"/>
        </w:rPr>
        <w:t>Modigliani, Miller (1961), «</w:t>
      </w:r>
      <w:r w:rsidR="00890BC0">
        <w:rPr>
          <w:sz w:val="26"/>
          <w:szCs w:val="26"/>
        </w:rPr>
        <w:t xml:space="preserve"> </w:t>
      </w:r>
      <w:r w:rsidR="00890BC0" w:rsidRPr="00890BC0">
        <w:rPr>
          <w:sz w:val="26"/>
          <w:szCs w:val="26"/>
        </w:rPr>
        <w:t>Dividend Policy, Growth, and the Valuation of Shares</w:t>
      </w:r>
      <w:r w:rsidR="00890BC0">
        <w:rPr>
          <w:sz w:val="26"/>
          <w:szCs w:val="26"/>
        </w:rPr>
        <w:t xml:space="preserve"> », </w:t>
      </w:r>
      <w:r w:rsidR="00890BC0" w:rsidRPr="00890BC0">
        <w:rPr>
          <w:i/>
          <w:sz w:val="26"/>
          <w:szCs w:val="26"/>
        </w:rPr>
        <w:t>The Journal of Business</w:t>
      </w:r>
      <w:r w:rsidR="00890BC0">
        <w:rPr>
          <w:sz w:val="26"/>
          <w:szCs w:val="26"/>
        </w:rPr>
        <w:t>, Vol.34, n°4, pp.411-433</w:t>
      </w:r>
    </w:p>
    <w:p w:rsidR="00B632E3" w:rsidRPr="00B632E3" w:rsidRDefault="00B632E3" w:rsidP="00B632E3">
      <w:pPr>
        <w:spacing w:before="100" w:beforeAutospacing="1" w:after="100" w:afterAutospacing="1" w:line="240" w:lineRule="auto"/>
        <w:ind w:left="708"/>
        <w:jc w:val="both"/>
        <w:rPr>
          <w:sz w:val="26"/>
          <w:szCs w:val="26"/>
        </w:rPr>
      </w:pPr>
      <w:r w:rsidRPr="00B632E3">
        <w:rPr>
          <w:sz w:val="26"/>
          <w:szCs w:val="26"/>
        </w:rPr>
        <w:t xml:space="preserve">Ozo F., Thankom A. (2019), « Stock market reaction to cash dividends: evidence from the Nigerian stock market », </w:t>
      </w:r>
      <w:r w:rsidRPr="00B632E3">
        <w:rPr>
          <w:i/>
          <w:sz w:val="26"/>
          <w:szCs w:val="26"/>
        </w:rPr>
        <w:t>Managerial Finance</w:t>
      </w:r>
      <w:r w:rsidRPr="00B632E3">
        <w:rPr>
          <w:sz w:val="26"/>
          <w:szCs w:val="26"/>
        </w:rPr>
        <w:t>, Vol.45, n°3</w:t>
      </w:r>
    </w:p>
    <w:p w:rsidR="00BA2A8A" w:rsidRPr="005D75E6" w:rsidRDefault="00BA2A8A" w:rsidP="005D75E6">
      <w:pPr>
        <w:spacing w:before="100" w:beforeAutospacing="1" w:after="100" w:afterAutospacing="1" w:line="240" w:lineRule="auto"/>
        <w:ind w:left="708"/>
        <w:jc w:val="both"/>
        <w:rPr>
          <w:rFonts w:eastAsia="Times New Roman" w:cstheme="minorHAnsi"/>
          <w:sz w:val="26"/>
          <w:szCs w:val="26"/>
          <w:lang w:eastAsia="fr-BE"/>
        </w:rPr>
      </w:pPr>
      <w:r w:rsidRPr="005D75E6">
        <w:rPr>
          <w:rFonts w:eastAsia="Times New Roman" w:cstheme="minorHAnsi"/>
          <w:sz w:val="26"/>
          <w:szCs w:val="26"/>
          <w:lang w:eastAsia="fr-BE"/>
        </w:rPr>
        <w:t xml:space="preserve">Tsui L., Yi C., Han T. (2017), « The relationship among information asymmetry, dividend policy and ownership structure », </w:t>
      </w:r>
      <w:r w:rsidRPr="005D75E6">
        <w:rPr>
          <w:rFonts w:eastAsia="Times New Roman" w:cstheme="minorHAnsi"/>
          <w:i/>
          <w:sz w:val="26"/>
          <w:szCs w:val="26"/>
          <w:lang w:eastAsia="fr-BE"/>
        </w:rPr>
        <w:t>Finance Research Letters</w:t>
      </w:r>
      <w:r w:rsidRPr="005D75E6">
        <w:rPr>
          <w:rFonts w:eastAsia="Times New Roman" w:cstheme="minorHAnsi"/>
          <w:sz w:val="26"/>
          <w:szCs w:val="26"/>
          <w:lang w:eastAsia="fr-BE"/>
        </w:rPr>
        <w:t>, pp.1-12</w:t>
      </w:r>
    </w:p>
    <w:p w:rsidR="00BA2A8A" w:rsidRPr="004D3563" w:rsidRDefault="00BA2A8A" w:rsidP="004D3563">
      <w:pPr>
        <w:ind w:left="708"/>
        <w:jc w:val="both"/>
        <w:rPr>
          <w:sz w:val="26"/>
          <w:szCs w:val="26"/>
        </w:rPr>
      </w:pPr>
    </w:p>
    <w:p w:rsidR="004D3563" w:rsidRPr="002F3780" w:rsidRDefault="004D3563" w:rsidP="004D3563">
      <w:pPr>
        <w:pStyle w:val="Paragraphedeliste"/>
        <w:jc w:val="both"/>
        <w:rPr>
          <w:sz w:val="28"/>
          <w:szCs w:val="28"/>
          <w:u w:val="single"/>
        </w:rPr>
      </w:pPr>
    </w:p>
    <w:sectPr w:rsidR="004D3563" w:rsidRPr="002F37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98" w:rsidRDefault="00391098" w:rsidP="008B1CDE">
      <w:pPr>
        <w:spacing w:after="0" w:line="240" w:lineRule="auto"/>
      </w:pPr>
      <w:r>
        <w:separator/>
      </w:r>
    </w:p>
  </w:endnote>
  <w:endnote w:type="continuationSeparator" w:id="0">
    <w:p w:rsidR="00391098" w:rsidRDefault="00391098" w:rsidP="008B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91199"/>
      <w:docPartObj>
        <w:docPartGallery w:val="Page Numbers (Bottom of Page)"/>
        <w:docPartUnique/>
      </w:docPartObj>
    </w:sdtPr>
    <w:sdtEndPr/>
    <w:sdtContent>
      <w:p w:rsidR="00D7508C" w:rsidRDefault="00D7508C">
        <w:pPr>
          <w:pStyle w:val="Pieddepage"/>
          <w:jc w:val="right"/>
        </w:pPr>
        <w:r>
          <w:fldChar w:fldCharType="begin"/>
        </w:r>
        <w:r>
          <w:instrText>PAGE   \* MERGEFORMAT</w:instrText>
        </w:r>
        <w:r>
          <w:fldChar w:fldCharType="separate"/>
        </w:r>
        <w:r w:rsidR="00391098" w:rsidRPr="00391098">
          <w:rPr>
            <w:noProof/>
            <w:lang w:val="fr-FR"/>
          </w:rPr>
          <w:t>1</w:t>
        </w:r>
        <w:r>
          <w:fldChar w:fldCharType="end"/>
        </w:r>
      </w:p>
    </w:sdtContent>
  </w:sdt>
  <w:p w:rsidR="00D7508C" w:rsidRDefault="00D7508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98" w:rsidRDefault="00391098" w:rsidP="008B1CDE">
      <w:pPr>
        <w:spacing w:after="0" w:line="240" w:lineRule="auto"/>
      </w:pPr>
      <w:r>
        <w:separator/>
      </w:r>
    </w:p>
  </w:footnote>
  <w:footnote w:type="continuationSeparator" w:id="0">
    <w:p w:rsidR="00391098" w:rsidRDefault="00391098" w:rsidP="008B1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C0174"/>
    <w:multiLevelType w:val="hybridMultilevel"/>
    <w:tmpl w:val="DE529CC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43305D8C"/>
    <w:multiLevelType w:val="multilevel"/>
    <w:tmpl w:val="C0C03E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F3"/>
    <w:rsid w:val="00021066"/>
    <w:rsid w:val="00021D57"/>
    <w:rsid w:val="000224E4"/>
    <w:rsid w:val="000263E6"/>
    <w:rsid w:val="000345AA"/>
    <w:rsid w:val="00041905"/>
    <w:rsid w:val="0009664A"/>
    <w:rsid w:val="000C274A"/>
    <w:rsid w:val="000D06C7"/>
    <w:rsid w:val="000D41A3"/>
    <w:rsid w:val="000E1074"/>
    <w:rsid w:val="000F388E"/>
    <w:rsid w:val="00125A0C"/>
    <w:rsid w:val="001336AA"/>
    <w:rsid w:val="0014126B"/>
    <w:rsid w:val="00151BC5"/>
    <w:rsid w:val="001521B1"/>
    <w:rsid w:val="00180053"/>
    <w:rsid w:val="00182D49"/>
    <w:rsid w:val="00184CD6"/>
    <w:rsid w:val="00185B03"/>
    <w:rsid w:val="001925FD"/>
    <w:rsid w:val="00196AD8"/>
    <w:rsid w:val="001A1F76"/>
    <w:rsid w:val="001B605D"/>
    <w:rsid w:val="001C6658"/>
    <w:rsid w:val="001D3866"/>
    <w:rsid w:val="001D50E7"/>
    <w:rsid w:val="001D7D71"/>
    <w:rsid w:val="001E311F"/>
    <w:rsid w:val="001E41D6"/>
    <w:rsid w:val="001F6C87"/>
    <w:rsid w:val="00203571"/>
    <w:rsid w:val="0020705C"/>
    <w:rsid w:val="00211DF9"/>
    <w:rsid w:val="00227A2B"/>
    <w:rsid w:val="00250567"/>
    <w:rsid w:val="002540A8"/>
    <w:rsid w:val="00254916"/>
    <w:rsid w:val="00254C5B"/>
    <w:rsid w:val="002552D8"/>
    <w:rsid w:val="0025638C"/>
    <w:rsid w:val="002568D9"/>
    <w:rsid w:val="0025773B"/>
    <w:rsid w:val="00260A5D"/>
    <w:rsid w:val="002916F3"/>
    <w:rsid w:val="002A7F33"/>
    <w:rsid w:val="002B1948"/>
    <w:rsid w:val="002B456A"/>
    <w:rsid w:val="002C40CB"/>
    <w:rsid w:val="002D1865"/>
    <w:rsid w:val="002D36A4"/>
    <w:rsid w:val="002E0DEE"/>
    <w:rsid w:val="002E5E91"/>
    <w:rsid w:val="002F3780"/>
    <w:rsid w:val="003047B1"/>
    <w:rsid w:val="00313790"/>
    <w:rsid w:val="0031514E"/>
    <w:rsid w:val="0031729F"/>
    <w:rsid w:val="00325CB5"/>
    <w:rsid w:val="003377C6"/>
    <w:rsid w:val="003570A0"/>
    <w:rsid w:val="00357D7A"/>
    <w:rsid w:val="00363338"/>
    <w:rsid w:val="00391098"/>
    <w:rsid w:val="003916E7"/>
    <w:rsid w:val="003925D6"/>
    <w:rsid w:val="0039495A"/>
    <w:rsid w:val="0039756C"/>
    <w:rsid w:val="003A1FE3"/>
    <w:rsid w:val="003A3303"/>
    <w:rsid w:val="003A63B5"/>
    <w:rsid w:val="003B71BC"/>
    <w:rsid w:val="003C00BA"/>
    <w:rsid w:val="003C4CA8"/>
    <w:rsid w:val="003C58BA"/>
    <w:rsid w:val="003E000D"/>
    <w:rsid w:val="003E2530"/>
    <w:rsid w:val="003E4B53"/>
    <w:rsid w:val="003F18EC"/>
    <w:rsid w:val="003F38FC"/>
    <w:rsid w:val="003F3CA9"/>
    <w:rsid w:val="003F3D23"/>
    <w:rsid w:val="004005A7"/>
    <w:rsid w:val="00410BC1"/>
    <w:rsid w:val="004144F5"/>
    <w:rsid w:val="00435F3E"/>
    <w:rsid w:val="0043768D"/>
    <w:rsid w:val="00450604"/>
    <w:rsid w:val="00464101"/>
    <w:rsid w:val="004713B1"/>
    <w:rsid w:val="00490171"/>
    <w:rsid w:val="00492EFD"/>
    <w:rsid w:val="0049567F"/>
    <w:rsid w:val="004A556A"/>
    <w:rsid w:val="004A5FDE"/>
    <w:rsid w:val="004C611D"/>
    <w:rsid w:val="004C72A9"/>
    <w:rsid w:val="004D3563"/>
    <w:rsid w:val="004D550D"/>
    <w:rsid w:val="00502AB2"/>
    <w:rsid w:val="0050561F"/>
    <w:rsid w:val="00522C30"/>
    <w:rsid w:val="005335B5"/>
    <w:rsid w:val="00537F69"/>
    <w:rsid w:val="00543BA8"/>
    <w:rsid w:val="00553A06"/>
    <w:rsid w:val="0055434A"/>
    <w:rsid w:val="00561553"/>
    <w:rsid w:val="0056170C"/>
    <w:rsid w:val="00572CAF"/>
    <w:rsid w:val="00581189"/>
    <w:rsid w:val="00581FA5"/>
    <w:rsid w:val="005A5E28"/>
    <w:rsid w:val="005C428D"/>
    <w:rsid w:val="005C66F4"/>
    <w:rsid w:val="005D2390"/>
    <w:rsid w:val="005D6A17"/>
    <w:rsid w:val="005D75E6"/>
    <w:rsid w:val="005D7BD7"/>
    <w:rsid w:val="005F7EDC"/>
    <w:rsid w:val="00607E3E"/>
    <w:rsid w:val="00646A95"/>
    <w:rsid w:val="00652F37"/>
    <w:rsid w:val="0067046A"/>
    <w:rsid w:val="00677180"/>
    <w:rsid w:val="006A07CA"/>
    <w:rsid w:val="006A36E5"/>
    <w:rsid w:val="006B7BBD"/>
    <w:rsid w:val="006E4A95"/>
    <w:rsid w:val="006E5432"/>
    <w:rsid w:val="006F0668"/>
    <w:rsid w:val="006F4B57"/>
    <w:rsid w:val="00711DD9"/>
    <w:rsid w:val="00735FEE"/>
    <w:rsid w:val="00736ED9"/>
    <w:rsid w:val="00741264"/>
    <w:rsid w:val="007447B4"/>
    <w:rsid w:val="00766551"/>
    <w:rsid w:val="007862A6"/>
    <w:rsid w:val="007874DF"/>
    <w:rsid w:val="00793F33"/>
    <w:rsid w:val="007A1C80"/>
    <w:rsid w:val="007B7469"/>
    <w:rsid w:val="007D0255"/>
    <w:rsid w:val="007D23F3"/>
    <w:rsid w:val="007D5099"/>
    <w:rsid w:val="007E59CA"/>
    <w:rsid w:val="007F01B4"/>
    <w:rsid w:val="007F1EAB"/>
    <w:rsid w:val="00804193"/>
    <w:rsid w:val="00834952"/>
    <w:rsid w:val="00836B8D"/>
    <w:rsid w:val="00871013"/>
    <w:rsid w:val="0087607E"/>
    <w:rsid w:val="008868E2"/>
    <w:rsid w:val="00890BC0"/>
    <w:rsid w:val="008A4646"/>
    <w:rsid w:val="008A6AF2"/>
    <w:rsid w:val="008B151E"/>
    <w:rsid w:val="008B1AD8"/>
    <w:rsid w:val="008B1CDE"/>
    <w:rsid w:val="008E5715"/>
    <w:rsid w:val="008F06D1"/>
    <w:rsid w:val="008F1863"/>
    <w:rsid w:val="008F2335"/>
    <w:rsid w:val="0091194C"/>
    <w:rsid w:val="00912EEC"/>
    <w:rsid w:val="00927359"/>
    <w:rsid w:val="00927EB6"/>
    <w:rsid w:val="009330C8"/>
    <w:rsid w:val="009529EE"/>
    <w:rsid w:val="009675DF"/>
    <w:rsid w:val="0097277A"/>
    <w:rsid w:val="009825DF"/>
    <w:rsid w:val="0098386C"/>
    <w:rsid w:val="00991F7E"/>
    <w:rsid w:val="009A1D07"/>
    <w:rsid w:val="009B3C8B"/>
    <w:rsid w:val="009B60D6"/>
    <w:rsid w:val="009C5D8E"/>
    <w:rsid w:val="009D046C"/>
    <w:rsid w:val="009E07A4"/>
    <w:rsid w:val="009E7608"/>
    <w:rsid w:val="00A1350C"/>
    <w:rsid w:val="00A13EAC"/>
    <w:rsid w:val="00A16434"/>
    <w:rsid w:val="00A2218F"/>
    <w:rsid w:val="00A27FE6"/>
    <w:rsid w:val="00A327BF"/>
    <w:rsid w:val="00A32D96"/>
    <w:rsid w:val="00A43F40"/>
    <w:rsid w:val="00A50A6C"/>
    <w:rsid w:val="00A638D9"/>
    <w:rsid w:val="00A75DA4"/>
    <w:rsid w:val="00AA0860"/>
    <w:rsid w:val="00AA29FA"/>
    <w:rsid w:val="00AA7AED"/>
    <w:rsid w:val="00AC2D07"/>
    <w:rsid w:val="00AD34B9"/>
    <w:rsid w:val="00AD4271"/>
    <w:rsid w:val="00AD7081"/>
    <w:rsid w:val="00AD79E8"/>
    <w:rsid w:val="00AF7F9D"/>
    <w:rsid w:val="00B144E4"/>
    <w:rsid w:val="00B232EC"/>
    <w:rsid w:val="00B32013"/>
    <w:rsid w:val="00B43027"/>
    <w:rsid w:val="00B43944"/>
    <w:rsid w:val="00B50928"/>
    <w:rsid w:val="00B60491"/>
    <w:rsid w:val="00B632E3"/>
    <w:rsid w:val="00B76B4A"/>
    <w:rsid w:val="00B81F6E"/>
    <w:rsid w:val="00B90405"/>
    <w:rsid w:val="00B90D0F"/>
    <w:rsid w:val="00B969DB"/>
    <w:rsid w:val="00B96DDA"/>
    <w:rsid w:val="00BA2A8A"/>
    <w:rsid w:val="00BB3585"/>
    <w:rsid w:val="00BB3B5D"/>
    <w:rsid w:val="00BB6FD6"/>
    <w:rsid w:val="00BD0CE7"/>
    <w:rsid w:val="00BE624B"/>
    <w:rsid w:val="00BE6BDA"/>
    <w:rsid w:val="00BF5AA8"/>
    <w:rsid w:val="00BF5EDC"/>
    <w:rsid w:val="00C2233B"/>
    <w:rsid w:val="00C3576A"/>
    <w:rsid w:val="00C47123"/>
    <w:rsid w:val="00C4736F"/>
    <w:rsid w:val="00C53271"/>
    <w:rsid w:val="00C67137"/>
    <w:rsid w:val="00C6721E"/>
    <w:rsid w:val="00C902E2"/>
    <w:rsid w:val="00CA3A16"/>
    <w:rsid w:val="00CB02E5"/>
    <w:rsid w:val="00CB7C32"/>
    <w:rsid w:val="00CD35FE"/>
    <w:rsid w:val="00CF47B9"/>
    <w:rsid w:val="00D07659"/>
    <w:rsid w:val="00D170B3"/>
    <w:rsid w:val="00D25138"/>
    <w:rsid w:val="00D30A8D"/>
    <w:rsid w:val="00D51F6B"/>
    <w:rsid w:val="00D56CE6"/>
    <w:rsid w:val="00D6301B"/>
    <w:rsid w:val="00D63BCC"/>
    <w:rsid w:val="00D64553"/>
    <w:rsid w:val="00D7508C"/>
    <w:rsid w:val="00D76B35"/>
    <w:rsid w:val="00D82DDC"/>
    <w:rsid w:val="00D93414"/>
    <w:rsid w:val="00D96F26"/>
    <w:rsid w:val="00DB10ED"/>
    <w:rsid w:val="00DB27B7"/>
    <w:rsid w:val="00DC1D35"/>
    <w:rsid w:val="00DC66D5"/>
    <w:rsid w:val="00DD244A"/>
    <w:rsid w:val="00DD74C6"/>
    <w:rsid w:val="00DE3577"/>
    <w:rsid w:val="00DE5E13"/>
    <w:rsid w:val="00DF1D2A"/>
    <w:rsid w:val="00E047A0"/>
    <w:rsid w:val="00E10C77"/>
    <w:rsid w:val="00E12252"/>
    <w:rsid w:val="00E2234A"/>
    <w:rsid w:val="00E2489E"/>
    <w:rsid w:val="00E26148"/>
    <w:rsid w:val="00E366F5"/>
    <w:rsid w:val="00E40C2D"/>
    <w:rsid w:val="00E43DE1"/>
    <w:rsid w:val="00E5105C"/>
    <w:rsid w:val="00E54DEE"/>
    <w:rsid w:val="00E64A87"/>
    <w:rsid w:val="00E668EB"/>
    <w:rsid w:val="00E75EB3"/>
    <w:rsid w:val="00E85DDE"/>
    <w:rsid w:val="00E95684"/>
    <w:rsid w:val="00E95DD6"/>
    <w:rsid w:val="00EB3A4D"/>
    <w:rsid w:val="00EC5FED"/>
    <w:rsid w:val="00EE5091"/>
    <w:rsid w:val="00F050BF"/>
    <w:rsid w:val="00F1026E"/>
    <w:rsid w:val="00F1091D"/>
    <w:rsid w:val="00F12E13"/>
    <w:rsid w:val="00F33692"/>
    <w:rsid w:val="00F3762A"/>
    <w:rsid w:val="00F818A9"/>
    <w:rsid w:val="00F82F43"/>
    <w:rsid w:val="00F91AD0"/>
    <w:rsid w:val="00FA3042"/>
    <w:rsid w:val="00FB017A"/>
    <w:rsid w:val="00FB3F25"/>
    <w:rsid w:val="00FB4B5E"/>
    <w:rsid w:val="00FC04EA"/>
    <w:rsid w:val="00FE2B07"/>
    <w:rsid w:val="00FF4144"/>
    <w:rsid w:val="00FF7C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191A"/>
  <w15:chartTrackingRefBased/>
  <w15:docId w15:val="{E15BFDF8-660E-498A-B107-5F68FD68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553"/>
    <w:pPr>
      <w:ind w:left="720"/>
      <w:contextualSpacing/>
    </w:pPr>
  </w:style>
  <w:style w:type="paragraph" w:styleId="En-tte">
    <w:name w:val="header"/>
    <w:basedOn w:val="Normal"/>
    <w:link w:val="En-tteCar"/>
    <w:uiPriority w:val="99"/>
    <w:unhideWhenUsed/>
    <w:rsid w:val="008B1CDE"/>
    <w:pPr>
      <w:tabs>
        <w:tab w:val="center" w:pos="4536"/>
        <w:tab w:val="right" w:pos="9072"/>
      </w:tabs>
      <w:spacing w:after="0" w:line="240" w:lineRule="auto"/>
    </w:pPr>
  </w:style>
  <w:style w:type="character" w:customStyle="1" w:styleId="En-tteCar">
    <w:name w:val="En-tête Car"/>
    <w:basedOn w:val="Policepardfaut"/>
    <w:link w:val="En-tte"/>
    <w:uiPriority w:val="99"/>
    <w:rsid w:val="008B1CDE"/>
  </w:style>
  <w:style w:type="paragraph" w:styleId="Pieddepage">
    <w:name w:val="footer"/>
    <w:basedOn w:val="Normal"/>
    <w:link w:val="PieddepageCar"/>
    <w:uiPriority w:val="99"/>
    <w:unhideWhenUsed/>
    <w:rsid w:val="008B1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1CDE"/>
  </w:style>
  <w:style w:type="table" w:styleId="Tableausimple5">
    <w:name w:val="Plain Table 5"/>
    <w:basedOn w:val="TableauNormal"/>
    <w:uiPriority w:val="45"/>
    <w:rsid w:val="00DD24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
    <w:name w:val="Plain Table 1"/>
    <w:basedOn w:val="TableauNormal"/>
    <w:uiPriority w:val="41"/>
    <w:rsid w:val="00DD24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D96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0842">
      <w:bodyDiv w:val="1"/>
      <w:marLeft w:val="0"/>
      <w:marRight w:val="0"/>
      <w:marTop w:val="0"/>
      <w:marBottom w:val="0"/>
      <w:divBdr>
        <w:top w:val="none" w:sz="0" w:space="0" w:color="auto"/>
        <w:left w:val="none" w:sz="0" w:space="0" w:color="auto"/>
        <w:bottom w:val="none" w:sz="0" w:space="0" w:color="auto"/>
        <w:right w:val="none" w:sz="0" w:space="0" w:color="auto"/>
      </w:divBdr>
    </w:div>
    <w:div w:id="172185276">
      <w:bodyDiv w:val="1"/>
      <w:marLeft w:val="0"/>
      <w:marRight w:val="0"/>
      <w:marTop w:val="0"/>
      <w:marBottom w:val="0"/>
      <w:divBdr>
        <w:top w:val="none" w:sz="0" w:space="0" w:color="auto"/>
        <w:left w:val="none" w:sz="0" w:space="0" w:color="auto"/>
        <w:bottom w:val="none" w:sz="0" w:space="0" w:color="auto"/>
        <w:right w:val="none" w:sz="0" w:space="0" w:color="auto"/>
      </w:divBdr>
    </w:div>
    <w:div w:id="537014338">
      <w:bodyDiv w:val="1"/>
      <w:marLeft w:val="0"/>
      <w:marRight w:val="0"/>
      <w:marTop w:val="0"/>
      <w:marBottom w:val="0"/>
      <w:divBdr>
        <w:top w:val="none" w:sz="0" w:space="0" w:color="auto"/>
        <w:left w:val="none" w:sz="0" w:space="0" w:color="auto"/>
        <w:bottom w:val="none" w:sz="0" w:space="0" w:color="auto"/>
        <w:right w:val="none" w:sz="0" w:space="0" w:color="auto"/>
      </w:divBdr>
    </w:div>
    <w:div w:id="1126046259">
      <w:bodyDiv w:val="1"/>
      <w:marLeft w:val="0"/>
      <w:marRight w:val="0"/>
      <w:marTop w:val="0"/>
      <w:marBottom w:val="0"/>
      <w:divBdr>
        <w:top w:val="none" w:sz="0" w:space="0" w:color="auto"/>
        <w:left w:val="none" w:sz="0" w:space="0" w:color="auto"/>
        <w:bottom w:val="none" w:sz="0" w:space="0" w:color="auto"/>
        <w:right w:val="none" w:sz="0" w:space="0" w:color="auto"/>
      </w:divBdr>
    </w:div>
    <w:div w:id="1378894163">
      <w:bodyDiv w:val="1"/>
      <w:marLeft w:val="0"/>
      <w:marRight w:val="0"/>
      <w:marTop w:val="0"/>
      <w:marBottom w:val="0"/>
      <w:divBdr>
        <w:top w:val="none" w:sz="0" w:space="0" w:color="auto"/>
        <w:left w:val="none" w:sz="0" w:space="0" w:color="auto"/>
        <w:bottom w:val="none" w:sz="0" w:space="0" w:color="auto"/>
        <w:right w:val="none" w:sz="0" w:space="0" w:color="auto"/>
      </w:divBdr>
    </w:div>
    <w:div w:id="1409304400">
      <w:bodyDiv w:val="1"/>
      <w:marLeft w:val="0"/>
      <w:marRight w:val="0"/>
      <w:marTop w:val="0"/>
      <w:marBottom w:val="0"/>
      <w:divBdr>
        <w:top w:val="none" w:sz="0" w:space="0" w:color="auto"/>
        <w:left w:val="none" w:sz="0" w:space="0" w:color="auto"/>
        <w:bottom w:val="none" w:sz="0" w:space="0" w:color="auto"/>
        <w:right w:val="none" w:sz="0" w:space="0" w:color="auto"/>
      </w:divBdr>
    </w:div>
    <w:div w:id="1529487786">
      <w:bodyDiv w:val="1"/>
      <w:marLeft w:val="0"/>
      <w:marRight w:val="0"/>
      <w:marTop w:val="0"/>
      <w:marBottom w:val="0"/>
      <w:divBdr>
        <w:top w:val="none" w:sz="0" w:space="0" w:color="auto"/>
        <w:left w:val="none" w:sz="0" w:space="0" w:color="auto"/>
        <w:bottom w:val="none" w:sz="0" w:space="0" w:color="auto"/>
        <w:right w:val="none" w:sz="0" w:space="0" w:color="auto"/>
      </w:divBdr>
    </w:div>
    <w:div w:id="1622109835">
      <w:bodyDiv w:val="1"/>
      <w:marLeft w:val="0"/>
      <w:marRight w:val="0"/>
      <w:marTop w:val="0"/>
      <w:marBottom w:val="0"/>
      <w:divBdr>
        <w:top w:val="none" w:sz="0" w:space="0" w:color="auto"/>
        <w:left w:val="none" w:sz="0" w:space="0" w:color="auto"/>
        <w:bottom w:val="none" w:sz="0" w:space="0" w:color="auto"/>
        <w:right w:val="none" w:sz="0" w:space="0" w:color="auto"/>
      </w:divBdr>
    </w:div>
    <w:div w:id="18056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18</Pages>
  <Words>6878</Words>
  <Characters>37832</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Finet</dc:creator>
  <cp:keywords/>
  <dc:description/>
  <cp:lastModifiedBy>Alain Finet</cp:lastModifiedBy>
  <cp:revision>14</cp:revision>
  <dcterms:created xsi:type="dcterms:W3CDTF">2020-06-20T17:21:00Z</dcterms:created>
  <dcterms:modified xsi:type="dcterms:W3CDTF">2020-09-27T15:26:00Z</dcterms:modified>
</cp:coreProperties>
</file>